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6C1" w:rsidRPr="00B71DB4" w:rsidRDefault="003456C1" w:rsidP="00B71DB4">
      <w:pPr>
        <w:spacing w:line="240" w:lineRule="auto"/>
        <w:jc w:val="center"/>
        <w:rPr>
          <w:b/>
          <w:sz w:val="24"/>
          <w:szCs w:val="24"/>
          <w:lang w:val="en-US"/>
        </w:rPr>
      </w:pPr>
      <w:proofErr w:type="spellStart"/>
      <w:proofErr w:type="gramStart"/>
      <w:r w:rsidRPr="00B71DB4">
        <w:rPr>
          <w:b/>
          <w:sz w:val="24"/>
          <w:szCs w:val="24"/>
          <w:highlight w:val="yellow"/>
          <w:lang w:val="en-US"/>
        </w:rPr>
        <w:t>VISTmany</w:t>
      </w:r>
      <w:proofErr w:type="spellEnd"/>
      <w:r w:rsidRPr="00B71DB4">
        <w:rPr>
          <w:b/>
          <w:sz w:val="24"/>
          <w:szCs w:val="24"/>
          <w:highlight w:val="yellow"/>
          <w:lang w:val="en-US"/>
        </w:rPr>
        <w:t xml:space="preserve"> scalping.</w:t>
      </w:r>
      <w:proofErr w:type="gramEnd"/>
      <w:r w:rsidRPr="00B71DB4">
        <w:rPr>
          <w:b/>
          <w:sz w:val="24"/>
          <w:szCs w:val="24"/>
          <w:lang w:val="en-US"/>
        </w:rPr>
        <w:t xml:space="preserve"> </w:t>
      </w:r>
    </w:p>
    <w:p w:rsidR="003456C1" w:rsidRPr="00B71DB4" w:rsidRDefault="007226DD" w:rsidP="00B71DB4">
      <w:pPr>
        <w:spacing w:line="240" w:lineRule="auto"/>
        <w:jc w:val="center"/>
        <w:rPr>
          <w:rFonts w:ascii="Segoe UI" w:hAnsi="Segoe UI" w:cs="Segoe UI"/>
          <w:b/>
          <w:color w:val="374151"/>
          <w:sz w:val="24"/>
          <w:szCs w:val="24"/>
          <w:shd w:val="clear" w:color="auto" w:fill="F7F7F8"/>
          <w:lang w:val="en-US"/>
        </w:rPr>
      </w:pPr>
      <w:r w:rsidRPr="00B71DB4">
        <w:rPr>
          <w:rFonts w:ascii="Segoe UI" w:hAnsi="Segoe UI" w:cs="Segoe UI"/>
          <w:b/>
          <w:color w:val="374151"/>
          <w:sz w:val="24"/>
          <w:szCs w:val="24"/>
          <w:shd w:val="clear" w:color="auto" w:fill="F7F7F8"/>
          <w:lang w:val="en-US"/>
        </w:rPr>
        <w:t xml:space="preserve"> How to properly understand the forecast calculated by the iVISTscalp5 indicator? </w:t>
      </w:r>
    </w:p>
    <w:p w:rsidR="007226DD" w:rsidRPr="00B71DB4" w:rsidRDefault="007226DD" w:rsidP="00B71DB4">
      <w:pPr>
        <w:spacing w:line="240" w:lineRule="auto"/>
        <w:jc w:val="center"/>
        <w:rPr>
          <w:rFonts w:ascii="Segoe UI" w:hAnsi="Segoe UI" w:cs="Segoe UI"/>
          <w:b/>
          <w:color w:val="374151"/>
          <w:sz w:val="24"/>
          <w:szCs w:val="24"/>
          <w:shd w:val="clear" w:color="auto" w:fill="F7F7F8"/>
          <w:lang w:val="en-US"/>
        </w:rPr>
      </w:pPr>
      <w:r w:rsidRPr="00B71DB4">
        <w:rPr>
          <w:rFonts w:ascii="Segoe UI" w:hAnsi="Segoe UI" w:cs="Segoe UI"/>
          <w:b/>
          <w:color w:val="374151"/>
          <w:sz w:val="24"/>
          <w:szCs w:val="24"/>
          <w:shd w:val="clear" w:color="auto" w:fill="F7F7F8"/>
          <w:lang w:val="en-US"/>
        </w:rPr>
        <w:t>Forecasts are published in the Telegram channel in the following format:</w:t>
      </w:r>
    </w:p>
    <w:p w:rsidR="00521C23" w:rsidRPr="00B71DB4" w:rsidRDefault="00521C23" w:rsidP="00B71DB4">
      <w:pPr>
        <w:spacing w:line="240" w:lineRule="auto"/>
        <w:jc w:val="center"/>
        <w:rPr>
          <w:b/>
          <w:i/>
          <w:sz w:val="24"/>
          <w:szCs w:val="24"/>
          <w:u w:val="single"/>
          <w:lang w:val="en-US"/>
        </w:rPr>
      </w:pPr>
      <w:r w:rsidRPr="00B71DB4">
        <w:rPr>
          <w:b/>
          <w:sz w:val="24"/>
          <w:szCs w:val="24"/>
          <w:highlight w:val="yellow"/>
          <w:lang w:val="en-US"/>
        </w:rPr>
        <w:t>#XAUUSD</w:t>
      </w:r>
      <w:r w:rsidRPr="00B71DB4">
        <w:rPr>
          <w:b/>
          <w:sz w:val="24"/>
          <w:szCs w:val="24"/>
          <w:lang w:val="en-US"/>
        </w:rPr>
        <w:t xml:space="preserve"> _2023.06.19 (UTC+3) </w:t>
      </w:r>
      <w:r w:rsidRPr="00B71DB4">
        <w:rPr>
          <w:b/>
          <w:i/>
          <w:sz w:val="24"/>
          <w:szCs w:val="24"/>
          <w:highlight w:val="yellow"/>
          <w:u w:val="single"/>
          <w:lang w:val="en-US"/>
        </w:rPr>
        <w:t>Timing: 7min</w:t>
      </w:r>
    </w:p>
    <w:p w:rsidR="00521C23" w:rsidRPr="00B71DB4" w:rsidRDefault="00521C23" w:rsidP="00B71DB4">
      <w:pPr>
        <w:spacing w:line="240" w:lineRule="auto"/>
        <w:jc w:val="center"/>
        <w:rPr>
          <w:sz w:val="20"/>
          <w:szCs w:val="20"/>
          <w:lang w:val="en-US"/>
        </w:rPr>
      </w:pPr>
      <w:r w:rsidRPr="00B71DB4">
        <w:rPr>
          <w:b/>
          <w:sz w:val="20"/>
          <w:szCs w:val="20"/>
          <w:highlight w:val="cyan"/>
          <w:lang w:val="en-US"/>
        </w:rPr>
        <w:t>Monday BUY</w:t>
      </w:r>
      <w:r w:rsidRPr="00B71DB4">
        <w:rPr>
          <w:sz w:val="20"/>
          <w:szCs w:val="20"/>
          <w:lang w:val="en-US"/>
        </w:rPr>
        <w:t xml:space="preserve"> = 01:07 (</w:t>
      </w:r>
      <w:r w:rsidRPr="00B71DB4">
        <w:rPr>
          <w:b/>
          <w:sz w:val="20"/>
          <w:szCs w:val="20"/>
          <w:lang w:val="en-US"/>
        </w:rPr>
        <w:t>570P</w:t>
      </w:r>
      <w:r w:rsidRPr="00B71DB4">
        <w:rPr>
          <w:sz w:val="20"/>
          <w:szCs w:val="20"/>
          <w:lang w:val="en-US"/>
        </w:rPr>
        <w:t>); 01:18 (</w:t>
      </w:r>
      <w:r w:rsidRPr="00B71DB4">
        <w:rPr>
          <w:b/>
          <w:sz w:val="20"/>
          <w:szCs w:val="20"/>
          <w:lang w:val="en-US"/>
        </w:rPr>
        <w:t>580P</w:t>
      </w:r>
      <w:r w:rsidRPr="00B71DB4">
        <w:rPr>
          <w:sz w:val="20"/>
          <w:szCs w:val="20"/>
          <w:lang w:val="en-US"/>
        </w:rPr>
        <w:t xml:space="preserve">); </w:t>
      </w:r>
      <w:r w:rsidRPr="00B71DB4">
        <w:rPr>
          <w:sz w:val="20"/>
          <w:szCs w:val="20"/>
          <w:highlight w:val="yellow"/>
          <w:lang w:val="en-US"/>
        </w:rPr>
        <w:t>04:00 (</w:t>
      </w:r>
      <w:r w:rsidRPr="00B71DB4">
        <w:rPr>
          <w:b/>
          <w:sz w:val="20"/>
          <w:szCs w:val="20"/>
          <w:highlight w:val="yellow"/>
          <w:lang w:val="en-US"/>
        </w:rPr>
        <w:t>932P</w:t>
      </w:r>
      <w:r w:rsidRPr="00B71DB4">
        <w:rPr>
          <w:sz w:val="20"/>
          <w:szCs w:val="20"/>
          <w:highlight w:val="yellow"/>
          <w:lang w:val="en-US"/>
        </w:rPr>
        <w:t>)</w:t>
      </w:r>
      <w:r w:rsidRPr="00B71DB4">
        <w:rPr>
          <w:sz w:val="20"/>
          <w:szCs w:val="20"/>
          <w:lang w:val="en-US"/>
        </w:rPr>
        <w:t>; 11:32 (</w:t>
      </w:r>
      <w:r w:rsidRPr="00B71DB4">
        <w:rPr>
          <w:b/>
          <w:sz w:val="20"/>
          <w:szCs w:val="20"/>
          <w:lang w:val="en-US"/>
        </w:rPr>
        <w:t>767P</w:t>
      </w:r>
      <w:r w:rsidRPr="00B71DB4">
        <w:rPr>
          <w:sz w:val="20"/>
          <w:szCs w:val="20"/>
          <w:lang w:val="en-US"/>
        </w:rPr>
        <w:t>); 13:25 (</w:t>
      </w:r>
      <w:r w:rsidRPr="00B71DB4">
        <w:rPr>
          <w:b/>
          <w:sz w:val="20"/>
          <w:szCs w:val="20"/>
          <w:lang w:val="en-US"/>
        </w:rPr>
        <w:t>721P</w:t>
      </w:r>
      <w:r w:rsidRPr="00B71DB4">
        <w:rPr>
          <w:sz w:val="20"/>
          <w:szCs w:val="20"/>
          <w:lang w:val="en-US"/>
        </w:rPr>
        <w:t>)</w:t>
      </w:r>
    </w:p>
    <w:p w:rsidR="00521C23" w:rsidRPr="00B71DB4" w:rsidRDefault="00521C23" w:rsidP="00B71DB4">
      <w:pPr>
        <w:spacing w:line="240" w:lineRule="auto"/>
        <w:jc w:val="center"/>
        <w:rPr>
          <w:sz w:val="20"/>
          <w:szCs w:val="20"/>
          <w:lang w:val="en-US"/>
        </w:rPr>
      </w:pPr>
      <w:r w:rsidRPr="00B71DB4">
        <w:rPr>
          <w:b/>
          <w:sz w:val="20"/>
          <w:szCs w:val="20"/>
          <w:highlight w:val="magenta"/>
          <w:lang w:val="en-US"/>
        </w:rPr>
        <w:t>Monday SELL</w:t>
      </w:r>
      <w:r w:rsidRPr="00B71DB4">
        <w:rPr>
          <w:sz w:val="20"/>
          <w:szCs w:val="20"/>
          <w:lang w:val="en-US"/>
        </w:rPr>
        <w:t xml:space="preserve"> = 01:55 (</w:t>
      </w:r>
      <w:r w:rsidRPr="00B71DB4">
        <w:rPr>
          <w:b/>
          <w:sz w:val="20"/>
          <w:szCs w:val="20"/>
          <w:lang w:val="en-US"/>
        </w:rPr>
        <w:t>625P</w:t>
      </w:r>
      <w:r w:rsidRPr="00B71DB4">
        <w:rPr>
          <w:sz w:val="20"/>
          <w:szCs w:val="20"/>
          <w:lang w:val="en-US"/>
        </w:rPr>
        <w:t>); 02:28 (</w:t>
      </w:r>
      <w:r w:rsidRPr="00B71DB4">
        <w:rPr>
          <w:b/>
          <w:sz w:val="20"/>
          <w:szCs w:val="20"/>
          <w:lang w:val="en-US"/>
        </w:rPr>
        <w:t>412P</w:t>
      </w:r>
      <w:r w:rsidRPr="00B71DB4">
        <w:rPr>
          <w:sz w:val="20"/>
          <w:szCs w:val="20"/>
          <w:lang w:val="en-US"/>
        </w:rPr>
        <w:t>); 03:26 (</w:t>
      </w:r>
      <w:r w:rsidRPr="00B71DB4">
        <w:rPr>
          <w:b/>
          <w:sz w:val="20"/>
          <w:szCs w:val="20"/>
          <w:lang w:val="en-US"/>
        </w:rPr>
        <w:t>691P</w:t>
      </w:r>
      <w:r w:rsidRPr="00B71DB4">
        <w:rPr>
          <w:sz w:val="20"/>
          <w:szCs w:val="20"/>
          <w:lang w:val="en-US"/>
        </w:rPr>
        <w:t>); 05:07 (</w:t>
      </w:r>
      <w:r w:rsidRPr="00B71DB4">
        <w:rPr>
          <w:b/>
          <w:sz w:val="20"/>
          <w:szCs w:val="20"/>
          <w:lang w:val="en-US"/>
        </w:rPr>
        <w:t>775P</w:t>
      </w:r>
      <w:r w:rsidRPr="00B71DB4">
        <w:rPr>
          <w:sz w:val="20"/>
          <w:szCs w:val="20"/>
          <w:lang w:val="en-US"/>
        </w:rPr>
        <w:t>); 07:05 (</w:t>
      </w:r>
      <w:r w:rsidRPr="00B71DB4">
        <w:rPr>
          <w:b/>
          <w:sz w:val="20"/>
          <w:szCs w:val="20"/>
          <w:lang w:val="en-US"/>
        </w:rPr>
        <w:t>398P</w:t>
      </w:r>
      <w:r w:rsidRPr="00B71DB4">
        <w:rPr>
          <w:sz w:val="20"/>
          <w:szCs w:val="20"/>
          <w:lang w:val="en-US"/>
        </w:rPr>
        <w:t>)…</w:t>
      </w:r>
    </w:p>
    <w:p w:rsidR="00521C23" w:rsidRPr="00B71DB4" w:rsidRDefault="007226DD" w:rsidP="00B71DB4">
      <w:pPr>
        <w:spacing w:line="240" w:lineRule="auto"/>
        <w:jc w:val="center"/>
        <w:rPr>
          <w:sz w:val="24"/>
          <w:szCs w:val="24"/>
          <w:lang w:val="en-US"/>
        </w:rPr>
      </w:pPr>
      <w:r w:rsidRPr="00B71DB4">
        <w:rPr>
          <w:b/>
          <w:sz w:val="24"/>
          <w:szCs w:val="24"/>
          <w:lang w:val="en-US"/>
        </w:rPr>
        <w:t>For convenience, the signals (timings) are divided by days of the week. Daily signals are also separated. As an example, we have analyzed the timings for Monday. Below are the consecutive timings for BUY and SELL signals on Monday.</w:t>
      </w:r>
      <w:r w:rsidR="007F457A" w:rsidRPr="00B71DB4">
        <w:rPr>
          <w:sz w:val="24"/>
          <w:szCs w:val="24"/>
        </w:rPr>
        <w:pict>
          <v:rect id="_x0000_i1025" style="width:467.75pt;height:1.5pt" o:hralign="center" o:hrstd="t" o:hrnoshade="t" o:hr="t" fillcolor="#002060" stroked="f"/>
        </w:pict>
      </w:r>
    </w:p>
    <w:p w:rsidR="007226DD" w:rsidRPr="00B71DB4" w:rsidRDefault="007226DD" w:rsidP="00B71DB4">
      <w:pPr>
        <w:spacing w:line="240" w:lineRule="auto"/>
        <w:jc w:val="center"/>
        <w:rPr>
          <w:b/>
          <w:sz w:val="24"/>
          <w:szCs w:val="24"/>
          <w:lang w:val="en-US"/>
        </w:rPr>
      </w:pPr>
      <w:r w:rsidRPr="00B71DB4">
        <w:rPr>
          <w:sz w:val="24"/>
          <w:szCs w:val="24"/>
          <w:lang w:val="en-US"/>
        </w:rPr>
        <w:t xml:space="preserve">Let's consider the timing for gold. </w:t>
      </w:r>
      <w:r w:rsidRPr="00B71DB4">
        <w:rPr>
          <w:b/>
          <w:sz w:val="24"/>
          <w:szCs w:val="24"/>
          <w:highlight w:val="yellow"/>
          <w:lang w:val="en-US"/>
        </w:rPr>
        <w:t>"04:00 (932P)"</w:t>
      </w:r>
      <w:r w:rsidRPr="00B71DB4">
        <w:rPr>
          <w:sz w:val="24"/>
          <w:szCs w:val="24"/>
          <w:lang w:val="en-US"/>
        </w:rPr>
        <w:t xml:space="preserve"> means the following: the first part represents the time, which is </w:t>
      </w:r>
      <w:r w:rsidRPr="00B71DB4">
        <w:rPr>
          <w:sz w:val="24"/>
          <w:szCs w:val="24"/>
          <w:highlight w:val="yellow"/>
          <w:lang w:val="en-US"/>
        </w:rPr>
        <w:t>04:00</w:t>
      </w:r>
      <w:r w:rsidRPr="00B71DB4">
        <w:rPr>
          <w:sz w:val="24"/>
          <w:szCs w:val="24"/>
          <w:lang w:val="en-US"/>
        </w:rPr>
        <w:t>, around which you should look for an entry point</w:t>
      </w:r>
      <w:r w:rsidR="00E624FB" w:rsidRPr="00B71DB4">
        <w:rPr>
          <w:sz w:val="24"/>
          <w:szCs w:val="24"/>
          <w:lang w:val="en-US"/>
        </w:rPr>
        <w:t>s</w:t>
      </w:r>
      <w:r w:rsidRPr="00B71DB4">
        <w:rPr>
          <w:sz w:val="24"/>
          <w:szCs w:val="24"/>
          <w:lang w:val="en-US"/>
        </w:rPr>
        <w:t>. In parentheses (932P),</w:t>
      </w:r>
      <w:r w:rsidR="00E624FB" w:rsidRPr="00B71DB4">
        <w:rPr>
          <w:sz w:val="24"/>
          <w:szCs w:val="24"/>
          <w:lang w:val="en-US"/>
        </w:rPr>
        <w:t xml:space="preserve"> it indicates the number of points (93 pips)</w:t>
      </w:r>
      <w:r w:rsidRPr="00B71DB4">
        <w:rPr>
          <w:sz w:val="24"/>
          <w:szCs w:val="24"/>
          <w:lang w:val="en-US"/>
        </w:rPr>
        <w:t xml:space="preserve"> forecasted by the </w:t>
      </w:r>
      <w:r w:rsidRPr="00B71DB4">
        <w:rPr>
          <w:b/>
          <w:sz w:val="24"/>
          <w:szCs w:val="24"/>
          <w:highlight w:val="yellow"/>
          <w:lang w:val="en-US"/>
        </w:rPr>
        <w:t>iVISTscalp5 indicator</w:t>
      </w:r>
      <w:r w:rsidRPr="00B71DB4">
        <w:rPr>
          <w:sz w:val="24"/>
          <w:szCs w:val="24"/>
          <w:lang w:val="en-US"/>
        </w:rPr>
        <w:t>. So</w:t>
      </w:r>
      <w:r w:rsidR="00E624FB" w:rsidRPr="00B71DB4">
        <w:rPr>
          <w:sz w:val="24"/>
          <w:szCs w:val="24"/>
          <w:lang w:val="en-US"/>
        </w:rPr>
        <w:t>, what does this forecasted point’s</w:t>
      </w:r>
      <w:r w:rsidRPr="00B71DB4">
        <w:rPr>
          <w:sz w:val="24"/>
          <w:szCs w:val="24"/>
          <w:lang w:val="en-US"/>
        </w:rPr>
        <w:t xml:space="preserve"> value mean? It means that on average (under favorable conditions) within the timing interval, for example, </w:t>
      </w:r>
      <w:r w:rsidRPr="00B71DB4">
        <w:rPr>
          <w:sz w:val="24"/>
          <w:szCs w:val="24"/>
          <w:highlight w:val="yellow"/>
          <w:lang w:val="en-US"/>
        </w:rPr>
        <w:t>7 minutes</w:t>
      </w:r>
      <w:r w:rsidRPr="00B71DB4">
        <w:rPr>
          <w:sz w:val="24"/>
          <w:szCs w:val="24"/>
          <w:lang w:val="en-US"/>
        </w:rPr>
        <w:t xml:space="preserve"> in our case, one can expect a movement of </w:t>
      </w:r>
      <w:r w:rsidR="00E624FB" w:rsidRPr="00B71DB4">
        <w:rPr>
          <w:sz w:val="24"/>
          <w:szCs w:val="24"/>
          <w:highlight w:val="yellow"/>
          <w:lang w:val="en-US"/>
        </w:rPr>
        <w:t>932 p</w:t>
      </w:r>
      <w:r w:rsidR="00E624FB" w:rsidRPr="00B71DB4">
        <w:rPr>
          <w:sz w:val="24"/>
          <w:szCs w:val="24"/>
          <w:lang w:val="en-US"/>
        </w:rPr>
        <w:t>oints (93 pips)</w:t>
      </w:r>
      <w:r w:rsidRPr="00B71DB4">
        <w:rPr>
          <w:sz w:val="24"/>
          <w:szCs w:val="24"/>
          <w:lang w:val="en-US"/>
        </w:rPr>
        <w:t xml:space="preserve"> for the XAUUSD pair. It's important to note that our system is based on time scalping. </w:t>
      </w:r>
      <w:r w:rsidRPr="00B71DB4">
        <w:rPr>
          <w:b/>
          <w:sz w:val="24"/>
          <w:szCs w:val="24"/>
          <w:lang w:val="en-US"/>
        </w:rPr>
        <w:t>Scalping involves executing quick trades with large volume.</w:t>
      </w:r>
    </w:p>
    <w:p w:rsidR="007226DD" w:rsidRPr="00B71DB4" w:rsidRDefault="007226DD" w:rsidP="00B71DB4">
      <w:pPr>
        <w:spacing w:line="240" w:lineRule="auto"/>
        <w:jc w:val="center"/>
        <w:rPr>
          <w:b/>
          <w:sz w:val="24"/>
          <w:szCs w:val="24"/>
          <w:lang w:val="en-US"/>
        </w:rPr>
      </w:pPr>
      <w:r w:rsidRPr="00B71DB4">
        <w:rPr>
          <w:b/>
          <w:sz w:val="24"/>
          <w:szCs w:val="24"/>
          <w:highlight w:val="lightGray"/>
          <w:lang w:val="en-US"/>
        </w:rPr>
        <w:t xml:space="preserve">For convenience, all price movements are </w:t>
      </w:r>
      <w:r w:rsidR="00E624FB" w:rsidRPr="00B71DB4">
        <w:rPr>
          <w:b/>
          <w:sz w:val="24"/>
          <w:szCs w:val="24"/>
          <w:highlight w:val="lightGray"/>
          <w:lang w:val="en-US"/>
        </w:rPr>
        <w:t>measured in points</w:t>
      </w:r>
      <w:r w:rsidRPr="00B71DB4">
        <w:rPr>
          <w:b/>
          <w:sz w:val="24"/>
          <w:szCs w:val="24"/>
          <w:highlight w:val="lightGray"/>
          <w:lang w:val="en-US"/>
        </w:rPr>
        <w:t>.</w:t>
      </w:r>
    </w:p>
    <w:p w:rsidR="007226DD" w:rsidRPr="00B71DB4" w:rsidRDefault="007226DD" w:rsidP="00B71DB4">
      <w:pPr>
        <w:spacing w:line="240" w:lineRule="auto"/>
        <w:jc w:val="center"/>
        <w:rPr>
          <w:b/>
          <w:i/>
          <w:sz w:val="24"/>
          <w:szCs w:val="24"/>
          <w:lang w:val="en-US"/>
        </w:rPr>
      </w:pPr>
      <w:r w:rsidRPr="00B71DB4">
        <w:rPr>
          <w:b/>
          <w:i/>
          <w:sz w:val="24"/>
          <w:szCs w:val="24"/>
          <w:lang w:val="en-US"/>
        </w:rPr>
        <w:t xml:space="preserve">Below is a table of quotes for different instruments and the forecast in terms of </w:t>
      </w:r>
      <w:r w:rsidR="00470B09" w:rsidRPr="00B71DB4">
        <w:rPr>
          <w:b/>
          <w:i/>
          <w:sz w:val="24"/>
          <w:szCs w:val="24"/>
          <w:lang w:val="en-US"/>
        </w:rPr>
        <w:t>points/</w:t>
      </w:r>
      <w:r w:rsidRPr="00B71DB4">
        <w:rPr>
          <w:b/>
          <w:i/>
          <w:sz w:val="24"/>
          <w:szCs w:val="24"/>
          <w:lang w:val="en-US"/>
        </w:rPr>
        <w:t xml:space="preserve">pips provided by the </w:t>
      </w:r>
      <w:r w:rsidRPr="00B71DB4">
        <w:rPr>
          <w:b/>
          <w:i/>
          <w:sz w:val="24"/>
          <w:szCs w:val="24"/>
          <w:highlight w:val="yellow"/>
          <w:lang w:val="en-US"/>
        </w:rPr>
        <w:t>iVISTscalp5 indicator</w:t>
      </w:r>
      <w:r w:rsidRPr="00B71DB4">
        <w:rPr>
          <w:b/>
          <w:i/>
          <w:sz w:val="24"/>
          <w:szCs w:val="24"/>
          <w:lang w:val="en-US"/>
        </w:rPr>
        <w:t xml:space="preserve">. On the left side, there are quotes from our </w:t>
      </w:r>
      <w:r w:rsidRPr="00B71DB4">
        <w:rPr>
          <w:b/>
          <w:i/>
          <w:sz w:val="24"/>
          <w:szCs w:val="24"/>
          <w:highlight w:val="yellow"/>
          <w:lang w:val="en-US"/>
        </w:rPr>
        <w:t>MT5 terminal</w:t>
      </w:r>
      <w:r w:rsidRPr="00B71DB4">
        <w:rPr>
          <w:b/>
          <w:i/>
          <w:sz w:val="24"/>
          <w:szCs w:val="24"/>
          <w:lang w:val="en-US"/>
        </w:rPr>
        <w:t xml:space="preserve"> where the iVISTscalp5 indicator is installed. On the right side, I will show you how the forecast would look if the quotes in your terminal differ from the quo</w:t>
      </w:r>
      <w:r w:rsidR="00470B09" w:rsidRPr="00B71DB4">
        <w:rPr>
          <w:b/>
          <w:i/>
          <w:sz w:val="24"/>
          <w:szCs w:val="24"/>
          <w:lang w:val="en-US"/>
        </w:rPr>
        <w:t>tes we use to calculate the points</w:t>
      </w:r>
      <w:r w:rsidRPr="00B71DB4">
        <w:rPr>
          <w:b/>
          <w:i/>
          <w:sz w:val="24"/>
          <w:szCs w:val="24"/>
          <w:lang w:val="en-US"/>
        </w:rPr>
        <w:t xml:space="preserve"> forecast.</w:t>
      </w:r>
    </w:p>
    <w:p w:rsidR="007226DD" w:rsidRPr="00B71DB4" w:rsidRDefault="007226DD" w:rsidP="00B71DB4">
      <w:pPr>
        <w:spacing w:line="240" w:lineRule="auto"/>
        <w:jc w:val="center"/>
        <w:rPr>
          <w:b/>
          <w:sz w:val="24"/>
          <w:szCs w:val="24"/>
          <w:lang w:val="en-US"/>
        </w:rPr>
      </w:pPr>
      <w:r w:rsidRPr="00B71DB4">
        <w:rPr>
          <w:b/>
          <w:sz w:val="24"/>
          <w:szCs w:val="24"/>
          <w:highlight w:val="yellow"/>
          <w:lang w:val="en-US"/>
        </w:rPr>
        <w:t>The main difference in quotes may be in the number of decimal places.</w:t>
      </w:r>
      <w:r w:rsidRPr="00B71DB4">
        <w:rPr>
          <w:b/>
          <w:sz w:val="24"/>
          <w:szCs w:val="24"/>
          <w:lang w:val="en-US"/>
        </w:rPr>
        <w:t xml:space="preserve"> Consequently, the forecast in terms of </w:t>
      </w:r>
      <w:r w:rsidR="00E624FB" w:rsidRPr="00B71DB4">
        <w:rPr>
          <w:b/>
          <w:sz w:val="24"/>
          <w:szCs w:val="24"/>
          <w:lang w:val="en-US"/>
        </w:rPr>
        <w:t>points/</w:t>
      </w:r>
      <w:r w:rsidRPr="00B71DB4">
        <w:rPr>
          <w:b/>
          <w:sz w:val="24"/>
          <w:szCs w:val="24"/>
          <w:lang w:val="en-US"/>
        </w:rPr>
        <w:t>pips will also vary.</w:t>
      </w:r>
    </w:p>
    <w:tbl>
      <w:tblPr>
        <w:tblStyle w:val="a3"/>
        <w:tblW w:w="0" w:type="auto"/>
        <w:jc w:val="center"/>
        <w:tblLook w:val="04A0"/>
      </w:tblPr>
      <w:tblGrid>
        <w:gridCol w:w="1234"/>
        <w:gridCol w:w="2094"/>
        <w:gridCol w:w="2094"/>
        <w:gridCol w:w="1674"/>
        <w:gridCol w:w="1125"/>
      </w:tblGrid>
      <w:tr w:rsidR="00521C23" w:rsidRPr="00B71DB4" w:rsidTr="003931D0">
        <w:trPr>
          <w:jc w:val="center"/>
        </w:trPr>
        <w:tc>
          <w:tcPr>
            <w:tcW w:w="1234" w:type="dxa"/>
            <w:tcBorders>
              <w:top w:val="single" w:sz="24" w:space="0" w:color="17365D" w:themeColor="text2" w:themeShade="BF"/>
              <w:left w:val="single" w:sz="24" w:space="0" w:color="17365D" w:themeColor="text2" w:themeShade="BF"/>
              <w:bottom w:val="single" w:sz="24" w:space="0" w:color="17365D" w:themeColor="text2" w:themeShade="BF"/>
              <w:right w:val="single" w:sz="24" w:space="0" w:color="17365D" w:themeColor="text2" w:themeShade="BF"/>
            </w:tcBorders>
          </w:tcPr>
          <w:p w:rsidR="00521C23" w:rsidRPr="00B71DB4" w:rsidRDefault="00521C23" w:rsidP="003931D0">
            <w:pPr>
              <w:jc w:val="center"/>
              <w:rPr>
                <w:b/>
                <w:color w:val="FF0000"/>
                <w:sz w:val="20"/>
                <w:szCs w:val="20"/>
                <w:lang w:val="en-US"/>
              </w:rPr>
            </w:pPr>
            <w:proofErr w:type="spellStart"/>
            <w:r w:rsidRPr="00B71DB4">
              <w:rPr>
                <w:b/>
                <w:color w:val="FF0000"/>
                <w:sz w:val="20"/>
                <w:szCs w:val="20"/>
                <w:lang w:val="en-US"/>
              </w:rPr>
              <w:t>Simbols</w:t>
            </w:r>
            <w:proofErr w:type="spellEnd"/>
          </w:p>
        </w:tc>
        <w:tc>
          <w:tcPr>
            <w:tcW w:w="1719" w:type="dxa"/>
            <w:tcBorders>
              <w:top w:val="single" w:sz="24" w:space="0" w:color="17365D" w:themeColor="text2" w:themeShade="BF"/>
              <w:left w:val="single" w:sz="24" w:space="0" w:color="17365D" w:themeColor="text2" w:themeShade="BF"/>
              <w:bottom w:val="single" w:sz="24" w:space="0" w:color="17365D" w:themeColor="text2" w:themeShade="BF"/>
              <w:right w:val="single" w:sz="24" w:space="0" w:color="17365D" w:themeColor="text2" w:themeShade="BF"/>
            </w:tcBorders>
            <w:shd w:val="clear" w:color="auto" w:fill="B6DDE8" w:themeFill="accent5" w:themeFillTint="66"/>
          </w:tcPr>
          <w:p w:rsidR="00521C23" w:rsidRPr="00B71DB4" w:rsidRDefault="00521C23" w:rsidP="003931D0">
            <w:pPr>
              <w:jc w:val="center"/>
              <w:rPr>
                <w:b/>
                <w:color w:val="FF0000"/>
                <w:sz w:val="20"/>
                <w:szCs w:val="20"/>
                <w:lang w:val="en-US"/>
              </w:rPr>
            </w:pPr>
            <w:r w:rsidRPr="00B71DB4">
              <w:rPr>
                <w:b/>
                <w:color w:val="FF0000"/>
                <w:sz w:val="20"/>
                <w:szCs w:val="20"/>
                <w:lang w:val="en-US"/>
              </w:rPr>
              <w:t>Quote VIST mt5</w:t>
            </w:r>
          </w:p>
          <w:p w:rsidR="00521C23" w:rsidRPr="00B71DB4" w:rsidRDefault="00521C23" w:rsidP="003931D0">
            <w:pPr>
              <w:jc w:val="center"/>
              <w:rPr>
                <w:color w:val="FF0000"/>
                <w:sz w:val="20"/>
                <w:szCs w:val="20"/>
                <w:lang w:val="en-US"/>
              </w:rPr>
            </w:pPr>
            <w:r w:rsidRPr="00B71DB4">
              <w:rPr>
                <w:color w:val="FF0000"/>
                <w:sz w:val="20"/>
                <w:szCs w:val="20"/>
                <w:lang w:val="en-US"/>
              </w:rPr>
              <w:t>(Telegram https://t.me/vistmany)</w:t>
            </w:r>
          </w:p>
        </w:tc>
        <w:tc>
          <w:tcPr>
            <w:tcW w:w="1719" w:type="dxa"/>
            <w:tcBorders>
              <w:top w:val="single" w:sz="24" w:space="0" w:color="17365D" w:themeColor="text2" w:themeShade="BF"/>
              <w:left w:val="single" w:sz="24" w:space="0" w:color="17365D" w:themeColor="text2" w:themeShade="BF"/>
              <w:bottom w:val="single" w:sz="24" w:space="0" w:color="17365D" w:themeColor="text2" w:themeShade="BF"/>
              <w:right w:val="single" w:sz="24" w:space="0" w:color="17365D" w:themeColor="text2" w:themeShade="BF"/>
            </w:tcBorders>
            <w:shd w:val="clear" w:color="auto" w:fill="B6DDE8" w:themeFill="accent5" w:themeFillTint="66"/>
          </w:tcPr>
          <w:p w:rsidR="00521C23" w:rsidRPr="00B71DB4" w:rsidRDefault="00521C23" w:rsidP="003931D0">
            <w:pPr>
              <w:jc w:val="center"/>
              <w:rPr>
                <w:b/>
                <w:color w:val="FF0000"/>
                <w:sz w:val="20"/>
                <w:szCs w:val="20"/>
                <w:lang w:val="en-US"/>
              </w:rPr>
            </w:pPr>
            <w:r w:rsidRPr="00B71DB4">
              <w:rPr>
                <w:b/>
                <w:color w:val="FF0000"/>
                <w:sz w:val="20"/>
                <w:szCs w:val="20"/>
                <w:lang w:val="en-US"/>
              </w:rPr>
              <w:t xml:space="preserve">VIST forecast in </w:t>
            </w:r>
            <w:r w:rsidRPr="00B71DB4">
              <w:rPr>
                <w:color w:val="FF0000"/>
                <w:sz w:val="20"/>
                <w:szCs w:val="20"/>
                <w:lang w:val="en-US"/>
              </w:rPr>
              <w:t>(Telegram https://t.me/vistmany)</w:t>
            </w:r>
          </w:p>
        </w:tc>
        <w:tc>
          <w:tcPr>
            <w:tcW w:w="1674" w:type="dxa"/>
            <w:tcBorders>
              <w:left w:val="single" w:sz="24" w:space="0" w:color="17365D" w:themeColor="text2" w:themeShade="BF"/>
            </w:tcBorders>
          </w:tcPr>
          <w:p w:rsidR="00521C23" w:rsidRPr="00B71DB4" w:rsidRDefault="00521C23" w:rsidP="003931D0">
            <w:pPr>
              <w:jc w:val="center"/>
              <w:rPr>
                <w:b/>
                <w:sz w:val="20"/>
                <w:szCs w:val="20"/>
                <w:lang w:val="en-US"/>
              </w:rPr>
            </w:pPr>
            <w:r w:rsidRPr="00B71DB4">
              <w:rPr>
                <w:b/>
                <w:sz w:val="20"/>
                <w:szCs w:val="20"/>
                <w:lang w:val="en-US"/>
              </w:rPr>
              <w:t>Quote mt5</w:t>
            </w:r>
          </w:p>
          <w:p w:rsidR="00521C23" w:rsidRPr="00B71DB4" w:rsidRDefault="00521C23" w:rsidP="003931D0">
            <w:pPr>
              <w:jc w:val="center"/>
              <w:rPr>
                <w:sz w:val="20"/>
                <w:szCs w:val="20"/>
                <w:lang w:val="en-US"/>
              </w:rPr>
            </w:pPr>
            <w:r w:rsidRPr="00B71DB4">
              <w:rPr>
                <w:sz w:val="20"/>
                <w:szCs w:val="20"/>
                <w:lang w:val="en-US"/>
              </w:rPr>
              <w:t>(If the quotes differ from VIST)</w:t>
            </w:r>
          </w:p>
        </w:tc>
        <w:tc>
          <w:tcPr>
            <w:tcW w:w="1125" w:type="dxa"/>
          </w:tcPr>
          <w:p w:rsidR="00521C23" w:rsidRPr="00B71DB4" w:rsidRDefault="00521C23" w:rsidP="003931D0">
            <w:pPr>
              <w:jc w:val="center"/>
              <w:rPr>
                <w:sz w:val="20"/>
                <w:szCs w:val="20"/>
                <w:lang w:val="en-US"/>
              </w:rPr>
            </w:pPr>
            <w:r w:rsidRPr="00B71DB4">
              <w:rPr>
                <w:b/>
                <w:sz w:val="20"/>
                <w:szCs w:val="20"/>
                <w:lang w:val="en-US"/>
              </w:rPr>
              <w:t>Forecast</w:t>
            </w:r>
          </w:p>
        </w:tc>
      </w:tr>
      <w:tr w:rsidR="00E868C8" w:rsidRPr="00B71DB4" w:rsidTr="003931D0">
        <w:trPr>
          <w:jc w:val="center"/>
        </w:trPr>
        <w:tc>
          <w:tcPr>
            <w:tcW w:w="1234" w:type="dxa"/>
            <w:tcBorders>
              <w:top w:val="single" w:sz="24" w:space="0" w:color="17365D" w:themeColor="text2" w:themeShade="BF"/>
              <w:left w:val="single" w:sz="24" w:space="0" w:color="17365D" w:themeColor="text2" w:themeShade="BF"/>
              <w:bottom w:val="single" w:sz="24" w:space="0" w:color="17365D" w:themeColor="text2" w:themeShade="BF"/>
              <w:right w:val="single" w:sz="24" w:space="0" w:color="17365D" w:themeColor="text2" w:themeShade="BF"/>
            </w:tcBorders>
          </w:tcPr>
          <w:p w:rsidR="00E868C8" w:rsidRPr="00B71DB4" w:rsidRDefault="00E868C8" w:rsidP="003931D0">
            <w:pPr>
              <w:jc w:val="center"/>
              <w:rPr>
                <w:sz w:val="20"/>
                <w:szCs w:val="20"/>
                <w:lang w:val="en-US"/>
              </w:rPr>
            </w:pPr>
            <w:r w:rsidRPr="00B71DB4">
              <w:rPr>
                <w:sz w:val="20"/>
                <w:szCs w:val="20"/>
                <w:lang w:val="en-US"/>
              </w:rPr>
              <w:t>XAU/USD</w:t>
            </w:r>
          </w:p>
        </w:tc>
        <w:tc>
          <w:tcPr>
            <w:tcW w:w="1719" w:type="dxa"/>
            <w:tcBorders>
              <w:top w:val="single" w:sz="24" w:space="0" w:color="17365D" w:themeColor="text2" w:themeShade="BF"/>
              <w:left w:val="single" w:sz="24" w:space="0" w:color="17365D" w:themeColor="text2" w:themeShade="BF"/>
              <w:bottom w:val="single" w:sz="24" w:space="0" w:color="17365D" w:themeColor="text2" w:themeShade="BF"/>
              <w:right w:val="single" w:sz="24" w:space="0" w:color="17365D" w:themeColor="text2" w:themeShade="BF"/>
            </w:tcBorders>
            <w:shd w:val="clear" w:color="auto" w:fill="B6DDE8" w:themeFill="accent5" w:themeFillTint="66"/>
          </w:tcPr>
          <w:p w:rsidR="00E868C8" w:rsidRPr="00B71DB4" w:rsidRDefault="00E868C8" w:rsidP="003931D0">
            <w:pPr>
              <w:jc w:val="center"/>
              <w:rPr>
                <w:sz w:val="20"/>
                <w:szCs w:val="20"/>
                <w:lang w:val="en-US"/>
              </w:rPr>
            </w:pPr>
            <w:r w:rsidRPr="00B71DB4">
              <w:rPr>
                <w:sz w:val="20"/>
                <w:szCs w:val="20"/>
                <w:lang w:val="en-US"/>
              </w:rPr>
              <w:t>1937,</w:t>
            </w:r>
            <w:r w:rsidRPr="00B71DB4">
              <w:rPr>
                <w:sz w:val="20"/>
                <w:szCs w:val="20"/>
                <w:highlight w:val="yellow"/>
                <w:lang w:val="en-US"/>
              </w:rPr>
              <w:t>260</w:t>
            </w:r>
          </w:p>
        </w:tc>
        <w:tc>
          <w:tcPr>
            <w:tcW w:w="1719" w:type="dxa"/>
            <w:tcBorders>
              <w:top w:val="single" w:sz="24" w:space="0" w:color="17365D" w:themeColor="text2" w:themeShade="BF"/>
              <w:left w:val="single" w:sz="24" w:space="0" w:color="17365D" w:themeColor="text2" w:themeShade="BF"/>
              <w:bottom w:val="single" w:sz="24" w:space="0" w:color="17365D" w:themeColor="text2" w:themeShade="BF"/>
              <w:right w:val="single" w:sz="24" w:space="0" w:color="17365D" w:themeColor="text2" w:themeShade="BF"/>
            </w:tcBorders>
            <w:shd w:val="clear" w:color="auto" w:fill="B6DDE8" w:themeFill="accent5" w:themeFillTint="66"/>
          </w:tcPr>
          <w:p w:rsidR="00E868C8" w:rsidRPr="00B71DB4" w:rsidRDefault="00E868C8" w:rsidP="004324E5">
            <w:pPr>
              <w:jc w:val="center"/>
              <w:rPr>
                <w:b/>
                <w:sz w:val="20"/>
                <w:szCs w:val="20"/>
                <w:lang w:val="en-US"/>
              </w:rPr>
            </w:pPr>
            <w:r w:rsidRPr="00B71DB4">
              <w:rPr>
                <w:b/>
                <w:sz w:val="20"/>
                <w:szCs w:val="20"/>
                <w:lang w:val="en-US"/>
              </w:rPr>
              <w:t>1450 points</w:t>
            </w:r>
          </w:p>
        </w:tc>
        <w:tc>
          <w:tcPr>
            <w:tcW w:w="1674" w:type="dxa"/>
            <w:tcBorders>
              <w:left w:val="single" w:sz="24" w:space="0" w:color="17365D" w:themeColor="text2" w:themeShade="BF"/>
            </w:tcBorders>
          </w:tcPr>
          <w:p w:rsidR="00E868C8" w:rsidRPr="00B71DB4" w:rsidRDefault="00E868C8" w:rsidP="003931D0">
            <w:pPr>
              <w:jc w:val="center"/>
              <w:rPr>
                <w:sz w:val="20"/>
                <w:szCs w:val="20"/>
                <w:lang w:val="en-US"/>
              </w:rPr>
            </w:pPr>
            <w:r w:rsidRPr="00B71DB4">
              <w:rPr>
                <w:sz w:val="20"/>
                <w:szCs w:val="20"/>
                <w:lang w:val="en-US"/>
              </w:rPr>
              <w:t>1937,</w:t>
            </w:r>
            <w:r w:rsidRPr="00B71DB4">
              <w:rPr>
                <w:sz w:val="20"/>
                <w:szCs w:val="20"/>
                <w:highlight w:val="yellow"/>
                <w:lang w:val="en-US"/>
              </w:rPr>
              <w:t>26</w:t>
            </w:r>
          </w:p>
        </w:tc>
        <w:tc>
          <w:tcPr>
            <w:tcW w:w="1125" w:type="dxa"/>
          </w:tcPr>
          <w:p w:rsidR="00E868C8" w:rsidRPr="00B71DB4" w:rsidRDefault="00E868C8" w:rsidP="003931D0">
            <w:pPr>
              <w:jc w:val="center"/>
              <w:rPr>
                <w:sz w:val="20"/>
                <w:szCs w:val="20"/>
                <w:lang w:val="en-US"/>
              </w:rPr>
            </w:pPr>
            <w:r w:rsidRPr="00B71DB4">
              <w:rPr>
                <w:sz w:val="20"/>
                <w:szCs w:val="20"/>
                <w:lang w:val="en-US"/>
              </w:rPr>
              <w:t>145 pips</w:t>
            </w:r>
          </w:p>
        </w:tc>
      </w:tr>
      <w:tr w:rsidR="00E868C8" w:rsidRPr="00B71DB4" w:rsidTr="003931D0">
        <w:trPr>
          <w:jc w:val="center"/>
        </w:trPr>
        <w:tc>
          <w:tcPr>
            <w:tcW w:w="1234" w:type="dxa"/>
            <w:tcBorders>
              <w:top w:val="single" w:sz="24" w:space="0" w:color="17365D" w:themeColor="text2" w:themeShade="BF"/>
              <w:left w:val="single" w:sz="24" w:space="0" w:color="17365D" w:themeColor="text2" w:themeShade="BF"/>
              <w:bottom w:val="single" w:sz="24" w:space="0" w:color="17365D" w:themeColor="text2" w:themeShade="BF"/>
              <w:right w:val="single" w:sz="24" w:space="0" w:color="17365D" w:themeColor="text2" w:themeShade="BF"/>
            </w:tcBorders>
          </w:tcPr>
          <w:p w:rsidR="00E868C8" w:rsidRPr="00B71DB4" w:rsidRDefault="00E868C8" w:rsidP="003931D0">
            <w:pPr>
              <w:jc w:val="center"/>
              <w:rPr>
                <w:sz w:val="20"/>
                <w:szCs w:val="20"/>
                <w:lang w:val="en-US"/>
              </w:rPr>
            </w:pPr>
            <w:proofErr w:type="spellStart"/>
            <w:r w:rsidRPr="00B71DB4">
              <w:rPr>
                <w:sz w:val="20"/>
                <w:szCs w:val="20"/>
                <w:lang w:val="en-US"/>
              </w:rPr>
              <w:t>DowJones</w:t>
            </w:r>
            <w:proofErr w:type="spellEnd"/>
          </w:p>
        </w:tc>
        <w:tc>
          <w:tcPr>
            <w:tcW w:w="1719" w:type="dxa"/>
            <w:tcBorders>
              <w:top w:val="single" w:sz="24" w:space="0" w:color="17365D" w:themeColor="text2" w:themeShade="BF"/>
              <w:left w:val="single" w:sz="24" w:space="0" w:color="17365D" w:themeColor="text2" w:themeShade="BF"/>
              <w:bottom w:val="single" w:sz="24" w:space="0" w:color="17365D" w:themeColor="text2" w:themeShade="BF"/>
              <w:right w:val="single" w:sz="24" w:space="0" w:color="17365D" w:themeColor="text2" w:themeShade="BF"/>
            </w:tcBorders>
            <w:shd w:val="clear" w:color="auto" w:fill="B6DDE8" w:themeFill="accent5" w:themeFillTint="66"/>
          </w:tcPr>
          <w:p w:rsidR="00E868C8" w:rsidRPr="00B71DB4" w:rsidRDefault="00E868C8" w:rsidP="003931D0">
            <w:pPr>
              <w:jc w:val="center"/>
              <w:rPr>
                <w:sz w:val="20"/>
                <w:szCs w:val="20"/>
                <w:lang w:val="en-US"/>
              </w:rPr>
            </w:pPr>
            <w:r w:rsidRPr="00B71DB4">
              <w:rPr>
                <w:sz w:val="20"/>
                <w:szCs w:val="20"/>
                <w:lang w:val="en-US"/>
              </w:rPr>
              <w:t>34090,</w:t>
            </w:r>
            <w:r w:rsidRPr="00B71DB4">
              <w:rPr>
                <w:sz w:val="20"/>
                <w:szCs w:val="20"/>
                <w:highlight w:val="yellow"/>
                <w:lang w:val="en-US"/>
              </w:rPr>
              <w:t>8</w:t>
            </w:r>
          </w:p>
        </w:tc>
        <w:tc>
          <w:tcPr>
            <w:tcW w:w="1719" w:type="dxa"/>
            <w:tcBorders>
              <w:top w:val="single" w:sz="24" w:space="0" w:color="17365D" w:themeColor="text2" w:themeShade="BF"/>
              <w:left w:val="single" w:sz="24" w:space="0" w:color="17365D" w:themeColor="text2" w:themeShade="BF"/>
              <w:bottom w:val="single" w:sz="24" w:space="0" w:color="17365D" w:themeColor="text2" w:themeShade="BF"/>
              <w:right w:val="single" w:sz="24" w:space="0" w:color="17365D" w:themeColor="text2" w:themeShade="BF"/>
            </w:tcBorders>
            <w:shd w:val="clear" w:color="auto" w:fill="B6DDE8" w:themeFill="accent5" w:themeFillTint="66"/>
          </w:tcPr>
          <w:p w:rsidR="00E868C8" w:rsidRPr="00B71DB4" w:rsidRDefault="00E868C8" w:rsidP="004324E5">
            <w:pPr>
              <w:jc w:val="center"/>
              <w:rPr>
                <w:b/>
                <w:sz w:val="20"/>
                <w:szCs w:val="20"/>
                <w:lang w:val="en-US"/>
              </w:rPr>
            </w:pPr>
            <w:r w:rsidRPr="00B71DB4">
              <w:rPr>
                <w:b/>
                <w:sz w:val="20"/>
                <w:szCs w:val="20"/>
                <w:lang w:val="en-US"/>
              </w:rPr>
              <w:t>300 points</w:t>
            </w:r>
          </w:p>
        </w:tc>
        <w:tc>
          <w:tcPr>
            <w:tcW w:w="1674" w:type="dxa"/>
            <w:tcBorders>
              <w:left w:val="single" w:sz="24" w:space="0" w:color="17365D" w:themeColor="text2" w:themeShade="BF"/>
            </w:tcBorders>
          </w:tcPr>
          <w:p w:rsidR="00E868C8" w:rsidRPr="00B71DB4" w:rsidRDefault="00E868C8" w:rsidP="003931D0">
            <w:pPr>
              <w:jc w:val="center"/>
              <w:rPr>
                <w:sz w:val="20"/>
                <w:szCs w:val="20"/>
                <w:lang w:val="en-US"/>
              </w:rPr>
            </w:pPr>
            <w:r w:rsidRPr="00B71DB4">
              <w:rPr>
                <w:sz w:val="20"/>
                <w:szCs w:val="20"/>
                <w:lang w:val="en-US"/>
              </w:rPr>
              <w:t>34090,</w:t>
            </w:r>
            <w:r w:rsidRPr="00B71DB4">
              <w:rPr>
                <w:sz w:val="20"/>
                <w:szCs w:val="20"/>
                <w:highlight w:val="yellow"/>
                <w:lang w:val="en-US"/>
              </w:rPr>
              <w:t>80</w:t>
            </w:r>
          </w:p>
        </w:tc>
        <w:tc>
          <w:tcPr>
            <w:tcW w:w="1125" w:type="dxa"/>
          </w:tcPr>
          <w:p w:rsidR="00E868C8" w:rsidRPr="00B71DB4" w:rsidRDefault="00E868C8" w:rsidP="003931D0">
            <w:pPr>
              <w:jc w:val="center"/>
              <w:rPr>
                <w:sz w:val="20"/>
                <w:szCs w:val="20"/>
                <w:lang w:val="en-US"/>
              </w:rPr>
            </w:pPr>
            <w:r w:rsidRPr="00B71DB4">
              <w:rPr>
                <w:sz w:val="20"/>
                <w:szCs w:val="20"/>
                <w:lang w:val="en-US"/>
              </w:rPr>
              <w:t>3000 pips</w:t>
            </w:r>
          </w:p>
        </w:tc>
      </w:tr>
      <w:tr w:rsidR="00E868C8" w:rsidRPr="00B71DB4" w:rsidTr="003931D0">
        <w:trPr>
          <w:jc w:val="center"/>
        </w:trPr>
        <w:tc>
          <w:tcPr>
            <w:tcW w:w="1234" w:type="dxa"/>
            <w:tcBorders>
              <w:top w:val="single" w:sz="24" w:space="0" w:color="17365D" w:themeColor="text2" w:themeShade="BF"/>
              <w:left w:val="single" w:sz="24" w:space="0" w:color="17365D" w:themeColor="text2" w:themeShade="BF"/>
              <w:bottom w:val="single" w:sz="24" w:space="0" w:color="17365D" w:themeColor="text2" w:themeShade="BF"/>
              <w:right w:val="single" w:sz="24" w:space="0" w:color="17365D" w:themeColor="text2" w:themeShade="BF"/>
            </w:tcBorders>
          </w:tcPr>
          <w:p w:rsidR="00E868C8" w:rsidRPr="00B71DB4" w:rsidRDefault="00E868C8" w:rsidP="003931D0">
            <w:pPr>
              <w:jc w:val="center"/>
              <w:rPr>
                <w:sz w:val="20"/>
                <w:szCs w:val="20"/>
                <w:lang w:val="en-US"/>
              </w:rPr>
            </w:pPr>
            <w:proofErr w:type="spellStart"/>
            <w:r w:rsidRPr="00B71DB4">
              <w:rPr>
                <w:sz w:val="20"/>
                <w:szCs w:val="20"/>
                <w:lang w:val="en-US"/>
              </w:rPr>
              <w:t>Nasdaq</w:t>
            </w:r>
            <w:proofErr w:type="spellEnd"/>
          </w:p>
        </w:tc>
        <w:tc>
          <w:tcPr>
            <w:tcW w:w="1719" w:type="dxa"/>
            <w:tcBorders>
              <w:top w:val="single" w:sz="24" w:space="0" w:color="17365D" w:themeColor="text2" w:themeShade="BF"/>
              <w:left w:val="single" w:sz="24" w:space="0" w:color="17365D" w:themeColor="text2" w:themeShade="BF"/>
              <w:bottom w:val="single" w:sz="24" w:space="0" w:color="17365D" w:themeColor="text2" w:themeShade="BF"/>
              <w:right w:val="single" w:sz="24" w:space="0" w:color="17365D" w:themeColor="text2" w:themeShade="BF"/>
            </w:tcBorders>
            <w:shd w:val="clear" w:color="auto" w:fill="B6DDE8" w:themeFill="accent5" w:themeFillTint="66"/>
          </w:tcPr>
          <w:p w:rsidR="00E868C8" w:rsidRPr="00B71DB4" w:rsidRDefault="00E868C8" w:rsidP="003931D0">
            <w:pPr>
              <w:jc w:val="center"/>
              <w:rPr>
                <w:sz w:val="20"/>
                <w:szCs w:val="20"/>
                <w:lang w:val="en-US"/>
              </w:rPr>
            </w:pPr>
            <w:r w:rsidRPr="00B71DB4">
              <w:rPr>
                <w:sz w:val="20"/>
                <w:szCs w:val="20"/>
                <w:lang w:val="en-US"/>
              </w:rPr>
              <w:t>15078,</w:t>
            </w:r>
            <w:r w:rsidRPr="00B71DB4">
              <w:rPr>
                <w:sz w:val="20"/>
                <w:szCs w:val="20"/>
                <w:highlight w:val="yellow"/>
                <w:lang w:val="en-US"/>
              </w:rPr>
              <w:t>2</w:t>
            </w:r>
          </w:p>
        </w:tc>
        <w:tc>
          <w:tcPr>
            <w:tcW w:w="1719" w:type="dxa"/>
            <w:tcBorders>
              <w:top w:val="single" w:sz="24" w:space="0" w:color="17365D" w:themeColor="text2" w:themeShade="BF"/>
              <w:left w:val="single" w:sz="24" w:space="0" w:color="17365D" w:themeColor="text2" w:themeShade="BF"/>
              <w:bottom w:val="single" w:sz="24" w:space="0" w:color="17365D" w:themeColor="text2" w:themeShade="BF"/>
              <w:right w:val="single" w:sz="24" w:space="0" w:color="17365D" w:themeColor="text2" w:themeShade="BF"/>
            </w:tcBorders>
            <w:shd w:val="clear" w:color="auto" w:fill="B6DDE8" w:themeFill="accent5" w:themeFillTint="66"/>
          </w:tcPr>
          <w:p w:rsidR="00E868C8" w:rsidRPr="00B71DB4" w:rsidRDefault="00E868C8" w:rsidP="004324E5">
            <w:pPr>
              <w:jc w:val="center"/>
              <w:rPr>
                <w:b/>
                <w:sz w:val="20"/>
                <w:szCs w:val="20"/>
              </w:rPr>
            </w:pPr>
            <w:r w:rsidRPr="00B71DB4">
              <w:rPr>
                <w:b/>
                <w:sz w:val="20"/>
                <w:szCs w:val="20"/>
                <w:lang w:val="en-US"/>
              </w:rPr>
              <w:t>127 points</w:t>
            </w:r>
          </w:p>
        </w:tc>
        <w:tc>
          <w:tcPr>
            <w:tcW w:w="1674" w:type="dxa"/>
            <w:tcBorders>
              <w:left w:val="single" w:sz="24" w:space="0" w:color="17365D" w:themeColor="text2" w:themeShade="BF"/>
            </w:tcBorders>
          </w:tcPr>
          <w:p w:rsidR="00E868C8" w:rsidRPr="00B71DB4" w:rsidRDefault="00E868C8" w:rsidP="003931D0">
            <w:pPr>
              <w:jc w:val="center"/>
              <w:rPr>
                <w:sz w:val="20"/>
                <w:szCs w:val="20"/>
                <w:lang w:val="en-US"/>
              </w:rPr>
            </w:pPr>
            <w:r w:rsidRPr="00B71DB4">
              <w:rPr>
                <w:sz w:val="20"/>
                <w:szCs w:val="20"/>
                <w:lang w:val="en-US"/>
              </w:rPr>
              <w:t>15078,</w:t>
            </w:r>
            <w:r w:rsidRPr="00B71DB4">
              <w:rPr>
                <w:sz w:val="20"/>
                <w:szCs w:val="20"/>
                <w:highlight w:val="yellow"/>
                <w:lang w:val="en-US"/>
              </w:rPr>
              <w:t>20</w:t>
            </w:r>
          </w:p>
        </w:tc>
        <w:tc>
          <w:tcPr>
            <w:tcW w:w="1125" w:type="dxa"/>
          </w:tcPr>
          <w:p w:rsidR="00E868C8" w:rsidRPr="00B71DB4" w:rsidRDefault="00E868C8" w:rsidP="003931D0">
            <w:pPr>
              <w:jc w:val="center"/>
              <w:rPr>
                <w:sz w:val="20"/>
                <w:szCs w:val="20"/>
                <w:lang w:val="en-US"/>
              </w:rPr>
            </w:pPr>
            <w:r w:rsidRPr="00B71DB4">
              <w:rPr>
                <w:sz w:val="20"/>
                <w:szCs w:val="20"/>
                <w:lang w:val="en-US"/>
              </w:rPr>
              <w:t>12 pips</w:t>
            </w:r>
          </w:p>
        </w:tc>
      </w:tr>
      <w:tr w:rsidR="00E868C8" w:rsidRPr="00B71DB4" w:rsidTr="003931D0">
        <w:trPr>
          <w:jc w:val="center"/>
        </w:trPr>
        <w:tc>
          <w:tcPr>
            <w:tcW w:w="1234" w:type="dxa"/>
            <w:tcBorders>
              <w:top w:val="single" w:sz="24" w:space="0" w:color="17365D" w:themeColor="text2" w:themeShade="BF"/>
              <w:left w:val="single" w:sz="24" w:space="0" w:color="17365D" w:themeColor="text2" w:themeShade="BF"/>
              <w:bottom w:val="single" w:sz="24" w:space="0" w:color="17365D" w:themeColor="text2" w:themeShade="BF"/>
              <w:right w:val="single" w:sz="24" w:space="0" w:color="17365D" w:themeColor="text2" w:themeShade="BF"/>
            </w:tcBorders>
          </w:tcPr>
          <w:p w:rsidR="00E868C8" w:rsidRPr="00B71DB4" w:rsidRDefault="00E868C8" w:rsidP="003931D0">
            <w:pPr>
              <w:jc w:val="center"/>
              <w:rPr>
                <w:sz w:val="20"/>
                <w:szCs w:val="20"/>
                <w:lang w:val="en-US"/>
              </w:rPr>
            </w:pPr>
            <w:r w:rsidRPr="00B71DB4">
              <w:rPr>
                <w:sz w:val="20"/>
                <w:szCs w:val="20"/>
                <w:lang w:val="en-US"/>
              </w:rPr>
              <w:t>EUR/USD</w:t>
            </w:r>
          </w:p>
        </w:tc>
        <w:tc>
          <w:tcPr>
            <w:tcW w:w="1719" w:type="dxa"/>
            <w:tcBorders>
              <w:top w:val="single" w:sz="24" w:space="0" w:color="17365D" w:themeColor="text2" w:themeShade="BF"/>
              <w:left w:val="single" w:sz="24" w:space="0" w:color="17365D" w:themeColor="text2" w:themeShade="BF"/>
              <w:bottom w:val="single" w:sz="24" w:space="0" w:color="17365D" w:themeColor="text2" w:themeShade="BF"/>
              <w:right w:val="single" w:sz="24" w:space="0" w:color="17365D" w:themeColor="text2" w:themeShade="BF"/>
            </w:tcBorders>
            <w:shd w:val="clear" w:color="auto" w:fill="B6DDE8" w:themeFill="accent5" w:themeFillTint="66"/>
          </w:tcPr>
          <w:p w:rsidR="00E868C8" w:rsidRPr="00B71DB4" w:rsidRDefault="00E868C8" w:rsidP="003931D0">
            <w:pPr>
              <w:jc w:val="center"/>
              <w:rPr>
                <w:sz w:val="20"/>
                <w:szCs w:val="20"/>
                <w:lang w:val="en-US"/>
              </w:rPr>
            </w:pPr>
            <w:r w:rsidRPr="00B71DB4">
              <w:rPr>
                <w:sz w:val="20"/>
                <w:szCs w:val="20"/>
                <w:lang w:val="en-US"/>
              </w:rPr>
              <w:t>1,</w:t>
            </w:r>
            <w:r w:rsidRPr="00B71DB4">
              <w:rPr>
                <w:sz w:val="20"/>
                <w:szCs w:val="20"/>
                <w:highlight w:val="yellow"/>
                <w:lang w:val="en-US"/>
              </w:rPr>
              <w:t>09638</w:t>
            </w:r>
          </w:p>
        </w:tc>
        <w:tc>
          <w:tcPr>
            <w:tcW w:w="1719" w:type="dxa"/>
            <w:tcBorders>
              <w:top w:val="single" w:sz="24" w:space="0" w:color="17365D" w:themeColor="text2" w:themeShade="BF"/>
              <w:left w:val="single" w:sz="24" w:space="0" w:color="17365D" w:themeColor="text2" w:themeShade="BF"/>
              <w:bottom w:val="single" w:sz="24" w:space="0" w:color="17365D" w:themeColor="text2" w:themeShade="BF"/>
              <w:right w:val="single" w:sz="24" w:space="0" w:color="17365D" w:themeColor="text2" w:themeShade="BF"/>
            </w:tcBorders>
            <w:shd w:val="clear" w:color="auto" w:fill="B6DDE8" w:themeFill="accent5" w:themeFillTint="66"/>
          </w:tcPr>
          <w:p w:rsidR="00E868C8" w:rsidRPr="00B71DB4" w:rsidRDefault="00E868C8" w:rsidP="004324E5">
            <w:pPr>
              <w:jc w:val="center"/>
              <w:rPr>
                <w:b/>
                <w:sz w:val="20"/>
                <w:szCs w:val="20"/>
                <w:lang w:val="en-US"/>
              </w:rPr>
            </w:pPr>
            <w:r w:rsidRPr="00B71DB4">
              <w:rPr>
                <w:b/>
                <w:sz w:val="20"/>
                <w:szCs w:val="20"/>
              </w:rPr>
              <w:t xml:space="preserve">29 </w:t>
            </w:r>
            <w:r w:rsidRPr="00B71DB4">
              <w:rPr>
                <w:b/>
                <w:sz w:val="20"/>
                <w:szCs w:val="20"/>
                <w:lang w:val="en-US"/>
              </w:rPr>
              <w:t>points</w:t>
            </w:r>
          </w:p>
        </w:tc>
        <w:tc>
          <w:tcPr>
            <w:tcW w:w="1674" w:type="dxa"/>
            <w:tcBorders>
              <w:left w:val="single" w:sz="24" w:space="0" w:color="17365D" w:themeColor="text2" w:themeShade="BF"/>
            </w:tcBorders>
          </w:tcPr>
          <w:p w:rsidR="00E868C8" w:rsidRPr="00B71DB4" w:rsidRDefault="00E868C8" w:rsidP="003931D0">
            <w:pPr>
              <w:jc w:val="center"/>
              <w:rPr>
                <w:sz w:val="20"/>
                <w:szCs w:val="20"/>
                <w:lang w:val="en-US"/>
              </w:rPr>
            </w:pPr>
            <w:r w:rsidRPr="00B71DB4">
              <w:rPr>
                <w:sz w:val="20"/>
                <w:szCs w:val="20"/>
                <w:lang w:val="en-US"/>
              </w:rPr>
              <w:t>1,</w:t>
            </w:r>
            <w:r w:rsidRPr="00B71DB4">
              <w:rPr>
                <w:sz w:val="20"/>
                <w:szCs w:val="20"/>
                <w:highlight w:val="yellow"/>
                <w:lang w:val="en-US"/>
              </w:rPr>
              <w:t>0963</w:t>
            </w:r>
          </w:p>
        </w:tc>
        <w:tc>
          <w:tcPr>
            <w:tcW w:w="1125" w:type="dxa"/>
          </w:tcPr>
          <w:p w:rsidR="00E868C8" w:rsidRPr="00B71DB4" w:rsidRDefault="00E868C8" w:rsidP="003931D0">
            <w:pPr>
              <w:jc w:val="center"/>
              <w:rPr>
                <w:sz w:val="20"/>
                <w:szCs w:val="20"/>
                <w:lang w:val="en-US"/>
              </w:rPr>
            </w:pPr>
            <w:r w:rsidRPr="00B71DB4">
              <w:rPr>
                <w:sz w:val="20"/>
                <w:szCs w:val="20"/>
                <w:lang w:val="en-US"/>
              </w:rPr>
              <w:t>2 pips</w:t>
            </w:r>
          </w:p>
        </w:tc>
      </w:tr>
      <w:tr w:rsidR="00E868C8" w:rsidRPr="00B71DB4" w:rsidTr="003931D0">
        <w:trPr>
          <w:jc w:val="center"/>
        </w:trPr>
        <w:tc>
          <w:tcPr>
            <w:tcW w:w="1234" w:type="dxa"/>
            <w:tcBorders>
              <w:top w:val="single" w:sz="24" w:space="0" w:color="17365D" w:themeColor="text2" w:themeShade="BF"/>
              <w:left w:val="single" w:sz="24" w:space="0" w:color="17365D" w:themeColor="text2" w:themeShade="BF"/>
              <w:bottom w:val="single" w:sz="24" w:space="0" w:color="17365D" w:themeColor="text2" w:themeShade="BF"/>
              <w:right w:val="single" w:sz="24" w:space="0" w:color="17365D" w:themeColor="text2" w:themeShade="BF"/>
            </w:tcBorders>
          </w:tcPr>
          <w:p w:rsidR="00E868C8" w:rsidRPr="00B71DB4" w:rsidRDefault="00E868C8" w:rsidP="003931D0">
            <w:pPr>
              <w:jc w:val="center"/>
              <w:rPr>
                <w:sz w:val="20"/>
                <w:szCs w:val="20"/>
                <w:lang w:val="en-US"/>
              </w:rPr>
            </w:pPr>
            <w:r w:rsidRPr="00B71DB4">
              <w:rPr>
                <w:sz w:val="20"/>
                <w:szCs w:val="20"/>
                <w:lang w:val="en-US"/>
              </w:rPr>
              <w:t>GBP/USD</w:t>
            </w:r>
          </w:p>
        </w:tc>
        <w:tc>
          <w:tcPr>
            <w:tcW w:w="1719" w:type="dxa"/>
            <w:tcBorders>
              <w:top w:val="single" w:sz="24" w:space="0" w:color="17365D" w:themeColor="text2" w:themeShade="BF"/>
              <w:left w:val="single" w:sz="24" w:space="0" w:color="17365D" w:themeColor="text2" w:themeShade="BF"/>
              <w:bottom w:val="single" w:sz="24" w:space="0" w:color="17365D" w:themeColor="text2" w:themeShade="BF"/>
              <w:right w:val="single" w:sz="24" w:space="0" w:color="17365D" w:themeColor="text2" w:themeShade="BF"/>
            </w:tcBorders>
            <w:shd w:val="clear" w:color="auto" w:fill="B6DDE8" w:themeFill="accent5" w:themeFillTint="66"/>
          </w:tcPr>
          <w:p w:rsidR="00E868C8" w:rsidRPr="00B71DB4" w:rsidRDefault="00E868C8" w:rsidP="003931D0">
            <w:pPr>
              <w:jc w:val="center"/>
              <w:rPr>
                <w:sz w:val="20"/>
                <w:szCs w:val="20"/>
                <w:lang w:val="en-US"/>
              </w:rPr>
            </w:pPr>
            <w:r w:rsidRPr="00B71DB4">
              <w:rPr>
                <w:sz w:val="20"/>
                <w:szCs w:val="20"/>
                <w:lang w:val="en-US"/>
              </w:rPr>
              <w:t>1.</w:t>
            </w:r>
            <w:r w:rsidRPr="00B71DB4">
              <w:rPr>
                <w:sz w:val="20"/>
                <w:szCs w:val="20"/>
                <w:highlight w:val="yellow"/>
                <w:lang w:val="en-US"/>
              </w:rPr>
              <w:t>27575</w:t>
            </w:r>
          </w:p>
        </w:tc>
        <w:tc>
          <w:tcPr>
            <w:tcW w:w="1719" w:type="dxa"/>
            <w:tcBorders>
              <w:top w:val="single" w:sz="24" w:space="0" w:color="17365D" w:themeColor="text2" w:themeShade="BF"/>
              <w:left w:val="single" w:sz="24" w:space="0" w:color="17365D" w:themeColor="text2" w:themeShade="BF"/>
              <w:bottom w:val="single" w:sz="24" w:space="0" w:color="17365D" w:themeColor="text2" w:themeShade="BF"/>
              <w:right w:val="single" w:sz="24" w:space="0" w:color="17365D" w:themeColor="text2" w:themeShade="BF"/>
            </w:tcBorders>
            <w:shd w:val="clear" w:color="auto" w:fill="B6DDE8" w:themeFill="accent5" w:themeFillTint="66"/>
          </w:tcPr>
          <w:p w:rsidR="00E868C8" w:rsidRPr="00B71DB4" w:rsidRDefault="00E868C8" w:rsidP="004324E5">
            <w:pPr>
              <w:jc w:val="center"/>
              <w:rPr>
                <w:b/>
                <w:sz w:val="20"/>
                <w:szCs w:val="20"/>
                <w:lang w:val="en-US"/>
              </w:rPr>
            </w:pPr>
            <w:r w:rsidRPr="00B71DB4">
              <w:rPr>
                <w:b/>
                <w:sz w:val="20"/>
                <w:szCs w:val="20"/>
                <w:lang w:val="en-US"/>
              </w:rPr>
              <w:t>40 points</w:t>
            </w:r>
          </w:p>
        </w:tc>
        <w:tc>
          <w:tcPr>
            <w:tcW w:w="1674" w:type="dxa"/>
            <w:tcBorders>
              <w:left w:val="single" w:sz="24" w:space="0" w:color="17365D" w:themeColor="text2" w:themeShade="BF"/>
            </w:tcBorders>
          </w:tcPr>
          <w:p w:rsidR="00E868C8" w:rsidRPr="00B71DB4" w:rsidRDefault="00E868C8" w:rsidP="003931D0">
            <w:pPr>
              <w:jc w:val="center"/>
              <w:rPr>
                <w:sz w:val="20"/>
                <w:szCs w:val="20"/>
                <w:lang w:val="en-US"/>
              </w:rPr>
            </w:pPr>
            <w:r w:rsidRPr="00B71DB4">
              <w:rPr>
                <w:sz w:val="20"/>
                <w:szCs w:val="20"/>
                <w:lang w:val="en-US"/>
              </w:rPr>
              <w:t>1.</w:t>
            </w:r>
            <w:r w:rsidRPr="00B71DB4">
              <w:rPr>
                <w:sz w:val="20"/>
                <w:szCs w:val="20"/>
                <w:highlight w:val="yellow"/>
                <w:lang w:val="en-US"/>
              </w:rPr>
              <w:t>2757</w:t>
            </w:r>
          </w:p>
        </w:tc>
        <w:tc>
          <w:tcPr>
            <w:tcW w:w="1125" w:type="dxa"/>
          </w:tcPr>
          <w:p w:rsidR="00E868C8" w:rsidRPr="00B71DB4" w:rsidRDefault="00E868C8" w:rsidP="003931D0">
            <w:pPr>
              <w:jc w:val="center"/>
              <w:rPr>
                <w:sz w:val="20"/>
                <w:szCs w:val="20"/>
                <w:lang w:val="en-US"/>
              </w:rPr>
            </w:pPr>
            <w:r w:rsidRPr="00B71DB4">
              <w:rPr>
                <w:sz w:val="20"/>
                <w:szCs w:val="20"/>
                <w:lang w:val="en-US"/>
              </w:rPr>
              <w:t>4 pips</w:t>
            </w:r>
          </w:p>
        </w:tc>
      </w:tr>
    </w:tbl>
    <w:p w:rsidR="009231DF" w:rsidRDefault="009231DF" w:rsidP="00CD0B1B">
      <w:pPr>
        <w:spacing w:line="240" w:lineRule="auto"/>
        <w:jc w:val="center"/>
        <w:rPr>
          <w:b/>
          <w:sz w:val="24"/>
          <w:szCs w:val="24"/>
          <w:highlight w:val="yellow"/>
          <w:lang w:val="en-US"/>
        </w:rPr>
      </w:pPr>
    </w:p>
    <w:p w:rsidR="00CD0B1B" w:rsidRPr="00B71DB4" w:rsidRDefault="00CD0B1B" w:rsidP="009231DF">
      <w:pPr>
        <w:spacing w:line="240" w:lineRule="auto"/>
        <w:jc w:val="center"/>
        <w:rPr>
          <w:b/>
          <w:sz w:val="24"/>
          <w:szCs w:val="24"/>
        </w:rPr>
      </w:pPr>
      <w:proofErr w:type="spellStart"/>
      <w:proofErr w:type="gramStart"/>
      <w:r w:rsidRPr="00B71DB4">
        <w:rPr>
          <w:b/>
          <w:sz w:val="24"/>
          <w:szCs w:val="24"/>
          <w:highlight w:val="yellow"/>
          <w:lang w:val="en-US"/>
        </w:rPr>
        <w:lastRenderedPageBreak/>
        <w:t>VISTmany</w:t>
      </w:r>
      <w:proofErr w:type="spellEnd"/>
      <w:r w:rsidRPr="00B71DB4">
        <w:rPr>
          <w:b/>
          <w:sz w:val="24"/>
          <w:szCs w:val="24"/>
          <w:highlight w:val="yellow"/>
        </w:rPr>
        <w:t xml:space="preserve"> </w:t>
      </w:r>
      <w:r w:rsidRPr="00B71DB4">
        <w:rPr>
          <w:b/>
          <w:sz w:val="24"/>
          <w:szCs w:val="24"/>
          <w:highlight w:val="yellow"/>
          <w:lang w:val="en-US"/>
        </w:rPr>
        <w:t>scalping</w:t>
      </w:r>
      <w:r w:rsidRPr="00B71DB4">
        <w:rPr>
          <w:b/>
          <w:sz w:val="24"/>
          <w:szCs w:val="24"/>
          <w:highlight w:val="yellow"/>
        </w:rPr>
        <w:t>.</w:t>
      </w:r>
      <w:proofErr w:type="gramEnd"/>
      <w:r w:rsidRPr="00B71DB4">
        <w:rPr>
          <w:b/>
          <w:sz w:val="24"/>
          <w:szCs w:val="24"/>
        </w:rPr>
        <w:t xml:space="preserve"> </w:t>
      </w:r>
    </w:p>
    <w:p w:rsidR="00CD0B1B" w:rsidRPr="00B71DB4" w:rsidRDefault="00CD0B1B" w:rsidP="009231DF">
      <w:pPr>
        <w:spacing w:line="240" w:lineRule="auto"/>
        <w:jc w:val="center"/>
        <w:rPr>
          <w:b/>
          <w:sz w:val="24"/>
          <w:szCs w:val="24"/>
        </w:rPr>
      </w:pPr>
      <w:r w:rsidRPr="00B71DB4">
        <w:rPr>
          <w:b/>
          <w:sz w:val="24"/>
          <w:szCs w:val="24"/>
        </w:rPr>
        <w:t xml:space="preserve">Как правильно разобраться с прогнозом, который рассчитывает индикатор </w:t>
      </w:r>
      <w:proofErr w:type="spellStart"/>
      <w:r w:rsidRPr="00B71DB4">
        <w:rPr>
          <w:b/>
          <w:sz w:val="24"/>
          <w:szCs w:val="24"/>
          <w:lang w:val="en-US"/>
        </w:rPr>
        <w:t>iVISTscalp</w:t>
      </w:r>
      <w:proofErr w:type="spellEnd"/>
      <w:r w:rsidRPr="00B71DB4">
        <w:rPr>
          <w:b/>
          <w:sz w:val="24"/>
          <w:szCs w:val="24"/>
        </w:rPr>
        <w:t xml:space="preserve">5? </w:t>
      </w:r>
    </w:p>
    <w:p w:rsidR="00CD0B1B" w:rsidRPr="00B71DB4" w:rsidRDefault="00CD0B1B" w:rsidP="009231DF">
      <w:pPr>
        <w:spacing w:line="240" w:lineRule="auto"/>
        <w:jc w:val="center"/>
        <w:rPr>
          <w:b/>
          <w:sz w:val="24"/>
          <w:szCs w:val="24"/>
          <w:u w:val="single"/>
        </w:rPr>
      </w:pPr>
      <w:r w:rsidRPr="00B71DB4">
        <w:rPr>
          <w:b/>
          <w:sz w:val="24"/>
          <w:szCs w:val="24"/>
          <w:highlight w:val="lightGray"/>
          <w:u w:val="single"/>
        </w:rPr>
        <w:t xml:space="preserve">Прогнозы публикуются </w:t>
      </w:r>
      <w:proofErr w:type="gramStart"/>
      <w:r w:rsidRPr="00B71DB4">
        <w:rPr>
          <w:b/>
          <w:sz w:val="24"/>
          <w:szCs w:val="24"/>
          <w:highlight w:val="lightGray"/>
          <w:u w:val="single"/>
        </w:rPr>
        <w:t>в</w:t>
      </w:r>
      <w:proofErr w:type="gramEnd"/>
      <w:r w:rsidRPr="00B71DB4">
        <w:rPr>
          <w:b/>
          <w:sz w:val="24"/>
          <w:szCs w:val="24"/>
          <w:highlight w:val="lightGray"/>
          <w:u w:val="single"/>
        </w:rPr>
        <w:t xml:space="preserve"> </w:t>
      </w:r>
      <w:proofErr w:type="gramStart"/>
      <w:r w:rsidRPr="00B71DB4">
        <w:rPr>
          <w:b/>
          <w:sz w:val="24"/>
          <w:szCs w:val="24"/>
          <w:highlight w:val="lightGray"/>
          <w:u w:val="single"/>
        </w:rPr>
        <w:t>телеграмм</w:t>
      </w:r>
      <w:proofErr w:type="gramEnd"/>
      <w:r w:rsidRPr="00B71DB4">
        <w:rPr>
          <w:b/>
          <w:sz w:val="24"/>
          <w:szCs w:val="24"/>
          <w:highlight w:val="lightGray"/>
          <w:u w:val="single"/>
        </w:rPr>
        <w:t xml:space="preserve"> канале в следующем виде:</w:t>
      </w:r>
    </w:p>
    <w:p w:rsidR="00CD0B1B" w:rsidRPr="00B71DB4" w:rsidRDefault="00CD0B1B" w:rsidP="009231DF">
      <w:pPr>
        <w:spacing w:line="240" w:lineRule="auto"/>
        <w:jc w:val="center"/>
        <w:rPr>
          <w:b/>
          <w:i/>
          <w:sz w:val="24"/>
          <w:szCs w:val="24"/>
          <w:u w:val="single"/>
          <w:lang w:val="en-US"/>
        </w:rPr>
      </w:pPr>
      <w:r w:rsidRPr="00B71DB4">
        <w:rPr>
          <w:b/>
          <w:sz w:val="24"/>
          <w:szCs w:val="24"/>
          <w:highlight w:val="yellow"/>
          <w:lang w:val="en-US"/>
        </w:rPr>
        <w:t>#XAUUSD</w:t>
      </w:r>
      <w:r w:rsidRPr="00B71DB4">
        <w:rPr>
          <w:b/>
          <w:sz w:val="24"/>
          <w:szCs w:val="24"/>
          <w:lang w:val="en-US"/>
        </w:rPr>
        <w:t xml:space="preserve"> _2023.06.19 (UTC+3) </w:t>
      </w:r>
      <w:r w:rsidRPr="00B71DB4">
        <w:rPr>
          <w:b/>
          <w:i/>
          <w:sz w:val="24"/>
          <w:szCs w:val="24"/>
          <w:highlight w:val="yellow"/>
          <w:u w:val="single"/>
          <w:lang w:val="en-US"/>
        </w:rPr>
        <w:t>Timing: 7min</w:t>
      </w:r>
    </w:p>
    <w:p w:rsidR="00CD0B1B" w:rsidRPr="00B71DB4" w:rsidRDefault="00CD0B1B" w:rsidP="00B71DB4">
      <w:pPr>
        <w:spacing w:line="240" w:lineRule="auto"/>
        <w:jc w:val="center"/>
        <w:rPr>
          <w:sz w:val="24"/>
          <w:szCs w:val="24"/>
          <w:lang w:val="en-US"/>
        </w:rPr>
      </w:pPr>
      <w:r w:rsidRPr="00B71DB4">
        <w:rPr>
          <w:b/>
          <w:sz w:val="24"/>
          <w:szCs w:val="24"/>
          <w:highlight w:val="cyan"/>
          <w:lang w:val="en-US"/>
        </w:rPr>
        <w:t>Monday BUY</w:t>
      </w:r>
      <w:r w:rsidRPr="00B71DB4">
        <w:rPr>
          <w:sz w:val="24"/>
          <w:szCs w:val="24"/>
          <w:lang w:val="en-US"/>
        </w:rPr>
        <w:t xml:space="preserve"> = 01:07 (</w:t>
      </w:r>
      <w:r w:rsidRPr="00B71DB4">
        <w:rPr>
          <w:b/>
          <w:sz w:val="24"/>
          <w:szCs w:val="24"/>
          <w:lang w:val="en-US"/>
        </w:rPr>
        <w:t>570P</w:t>
      </w:r>
      <w:r w:rsidRPr="00B71DB4">
        <w:rPr>
          <w:sz w:val="24"/>
          <w:szCs w:val="24"/>
          <w:lang w:val="en-US"/>
        </w:rPr>
        <w:t>); 01:18 (</w:t>
      </w:r>
      <w:r w:rsidRPr="00B71DB4">
        <w:rPr>
          <w:b/>
          <w:sz w:val="24"/>
          <w:szCs w:val="24"/>
          <w:lang w:val="en-US"/>
        </w:rPr>
        <w:t>580P</w:t>
      </w:r>
      <w:r w:rsidRPr="00B71DB4">
        <w:rPr>
          <w:sz w:val="24"/>
          <w:szCs w:val="24"/>
          <w:lang w:val="en-US"/>
        </w:rPr>
        <w:t xml:space="preserve">); </w:t>
      </w:r>
      <w:r w:rsidRPr="00B71DB4">
        <w:rPr>
          <w:sz w:val="24"/>
          <w:szCs w:val="24"/>
          <w:highlight w:val="yellow"/>
          <w:lang w:val="en-US"/>
        </w:rPr>
        <w:t>04:00 (</w:t>
      </w:r>
      <w:r w:rsidRPr="00B71DB4">
        <w:rPr>
          <w:b/>
          <w:sz w:val="24"/>
          <w:szCs w:val="24"/>
          <w:highlight w:val="yellow"/>
          <w:lang w:val="en-US"/>
        </w:rPr>
        <w:t>932P</w:t>
      </w:r>
      <w:r w:rsidRPr="00B71DB4">
        <w:rPr>
          <w:sz w:val="24"/>
          <w:szCs w:val="24"/>
          <w:highlight w:val="yellow"/>
          <w:lang w:val="en-US"/>
        </w:rPr>
        <w:t>)</w:t>
      </w:r>
      <w:r w:rsidRPr="00B71DB4">
        <w:rPr>
          <w:sz w:val="24"/>
          <w:szCs w:val="24"/>
          <w:lang w:val="en-US"/>
        </w:rPr>
        <w:t>; 11:32 (</w:t>
      </w:r>
      <w:r w:rsidRPr="00B71DB4">
        <w:rPr>
          <w:b/>
          <w:sz w:val="24"/>
          <w:szCs w:val="24"/>
          <w:lang w:val="en-US"/>
        </w:rPr>
        <w:t>767P</w:t>
      </w:r>
      <w:r w:rsidRPr="00B71DB4">
        <w:rPr>
          <w:sz w:val="24"/>
          <w:szCs w:val="24"/>
          <w:lang w:val="en-US"/>
        </w:rPr>
        <w:t>); 13:25 (</w:t>
      </w:r>
      <w:r w:rsidRPr="00B71DB4">
        <w:rPr>
          <w:b/>
          <w:sz w:val="24"/>
          <w:szCs w:val="24"/>
          <w:lang w:val="en-US"/>
        </w:rPr>
        <w:t>721P</w:t>
      </w:r>
      <w:r w:rsidRPr="00B71DB4">
        <w:rPr>
          <w:sz w:val="24"/>
          <w:szCs w:val="24"/>
          <w:lang w:val="en-US"/>
        </w:rPr>
        <w:t>)</w:t>
      </w:r>
    </w:p>
    <w:p w:rsidR="00CD0B1B" w:rsidRPr="00B71DB4" w:rsidRDefault="00CD0B1B" w:rsidP="00B71DB4">
      <w:pPr>
        <w:spacing w:line="240" w:lineRule="auto"/>
        <w:jc w:val="center"/>
        <w:rPr>
          <w:sz w:val="24"/>
          <w:szCs w:val="24"/>
          <w:lang w:val="en-US"/>
        </w:rPr>
      </w:pPr>
      <w:r w:rsidRPr="00B71DB4">
        <w:rPr>
          <w:b/>
          <w:sz w:val="24"/>
          <w:szCs w:val="24"/>
          <w:highlight w:val="magenta"/>
          <w:lang w:val="en-US"/>
        </w:rPr>
        <w:t>Monday SELL</w:t>
      </w:r>
      <w:r w:rsidRPr="00B71DB4">
        <w:rPr>
          <w:sz w:val="24"/>
          <w:szCs w:val="24"/>
          <w:lang w:val="en-US"/>
        </w:rPr>
        <w:t xml:space="preserve"> = 01:55 (</w:t>
      </w:r>
      <w:r w:rsidRPr="00B71DB4">
        <w:rPr>
          <w:b/>
          <w:sz w:val="24"/>
          <w:szCs w:val="24"/>
          <w:lang w:val="en-US"/>
        </w:rPr>
        <w:t>625P</w:t>
      </w:r>
      <w:r w:rsidRPr="00B71DB4">
        <w:rPr>
          <w:sz w:val="24"/>
          <w:szCs w:val="24"/>
          <w:lang w:val="en-US"/>
        </w:rPr>
        <w:t>); 02:28 (</w:t>
      </w:r>
      <w:r w:rsidRPr="00B71DB4">
        <w:rPr>
          <w:b/>
          <w:sz w:val="24"/>
          <w:szCs w:val="24"/>
          <w:lang w:val="en-US"/>
        </w:rPr>
        <w:t>412P</w:t>
      </w:r>
      <w:r w:rsidRPr="00B71DB4">
        <w:rPr>
          <w:sz w:val="24"/>
          <w:szCs w:val="24"/>
          <w:lang w:val="en-US"/>
        </w:rPr>
        <w:t>); 03:26 (</w:t>
      </w:r>
      <w:r w:rsidRPr="00B71DB4">
        <w:rPr>
          <w:b/>
          <w:sz w:val="24"/>
          <w:szCs w:val="24"/>
          <w:lang w:val="en-US"/>
        </w:rPr>
        <w:t>691P</w:t>
      </w:r>
      <w:r w:rsidRPr="00B71DB4">
        <w:rPr>
          <w:sz w:val="24"/>
          <w:szCs w:val="24"/>
          <w:lang w:val="en-US"/>
        </w:rPr>
        <w:t>); 05:07 (</w:t>
      </w:r>
      <w:r w:rsidRPr="00B71DB4">
        <w:rPr>
          <w:b/>
          <w:sz w:val="24"/>
          <w:szCs w:val="24"/>
          <w:lang w:val="en-US"/>
        </w:rPr>
        <w:t>775P</w:t>
      </w:r>
      <w:r w:rsidRPr="00B71DB4">
        <w:rPr>
          <w:sz w:val="24"/>
          <w:szCs w:val="24"/>
          <w:lang w:val="en-US"/>
        </w:rPr>
        <w:t>); 07:05 (</w:t>
      </w:r>
      <w:r w:rsidRPr="00B71DB4">
        <w:rPr>
          <w:b/>
          <w:sz w:val="24"/>
          <w:szCs w:val="24"/>
          <w:lang w:val="en-US"/>
        </w:rPr>
        <w:t>398P</w:t>
      </w:r>
      <w:r w:rsidRPr="00B71DB4">
        <w:rPr>
          <w:sz w:val="24"/>
          <w:szCs w:val="24"/>
          <w:lang w:val="en-US"/>
        </w:rPr>
        <w:t>)…</w:t>
      </w:r>
    </w:p>
    <w:p w:rsidR="00CD0B1B" w:rsidRPr="00B71DB4" w:rsidRDefault="00CD0B1B" w:rsidP="00B71DB4">
      <w:pPr>
        <w:spacing w:line="240" w:lineRule="auto"/>
        <w:jc w:val="center"/>
        <w:rPr>
          <w:b/>
          <w:sz w:val="24"/>
          <w:szCs w:val="24"/>
        </w:rPr>
      </w:pPr>
      <w:r w:rsidRPr="00B71DB4">
        <w:rPr>
          <w:b/>
          <w:sz w:val="24"/>
          <w:szCs w:val="24"/>
        </w:rPr>
        <w:t xml:space="preserve">Для удобства сигналы (тайминги) разделены по дням недели. Разделены и дневные сигналы. Для примера мы рассмотрели тайминги для понедельника. Отдельно подряд </w:t>
      </w:r>
      <w:proofErr w:type="gramStart"/>
      <w:r w:rsidRPr="00B71DB4">
        <w:rPr>
          <w:b/>
          <w:sz w:val="24"/>
          <w:szCs w:val="24"/>
        </w:rPr>
        <w:t>идущие</w:t>
      </w:r>
      <w:proofErr w:type="gramEnd"/>
      <w:r w:rsidRPr="00B71DB4">
        <w:rPr>
          <w:b/>
          <w:sz w:val="24"/>
          <w:szCs w:val="24"/>
        </w:rPr>
        <w:t xml:space="preserve"> тайминги понедельника </w:t>
      </w:r>
      <w:r w:rsidRPr="00B71DB4">
        <w:rPr>
          <w:b/>
          <w:sz w:val="24"/>
          <w:szCs w:val="24"/>
          <w:lang w:val="en-US"/>
        </w:rPr>
        <w:t>BUY</w:t>
      </w:r>
      <w:r w:rsidRPr="00B71DB4">
        <w:rPr>
          <w:b/>
          <w:sz w:val="24"/>
          <w:szCs w:val="24"/>
        </w:rPr>
        <w:t xml:space="preserve"> и </w:t>
      </w:r>
      <w:r w:rsidRPr="00B71DB4">
        <w:rPr>
          <w:b/>
          <w:sz w:val="24"/>
          <w:szCs w:val="24"/>
          <w:lang w:val="en-US"/>
        </w:rPr>
        <w:t>SELL</w:t>
      </w:r>
      <w:r w:rsidRPr="00B71DB4">
        <w:rPr>
          <w:b/>
          <w:sz w:val="24"/>
          <w:szCs w:val="24"/>
        </w:rPr>
        <w:t xml:space="preserve"> сигналов. </w:t>
      </w:r>
    </w:p>
    <w:p w:rsidR="00CD0B1B" w:rsidRPr="00B71DB4" w:rsidRDefault="007F457A" w:rsidP="00B71DB4">
      <w:pPr>
        <w:spacing w:line="240" w:lineRule="auto"/>
        <w:jc w:val="center"/>
        <w:rPr>
          <w:sz w:val="24"/>
          <w:szCs w:val="24"/>
        </w:rPr>
      </w:pPr>
      <w:r w:rsidRPr="00B71DB4">
        <w:rPr>
          <w:sz w:val="24"/>
          <w:szCs w:val="24"/>
        </w:rPr>
        <w:pict>
          <v:rect id="_x0000_i1026" style="width:467.75pt;height:1.5pt" o:hralign="center" o:hrstd="t" o:hrnoshade="t" o:hr="t" fillcolor="#002060" stroked="f"/>
        </w:pict>
      </w:r>
    </w:p>
    <w:p w:rsidR="00CD0B1B" w:rsidRPr="00B71DB4" w:rsidRDefault="00CD0B1B" w:rsidP="00B71DB4">
      <w:pPr>
        <w:spacing w:line="240" w:lineRule="auto"/>
        <w:jc w:val="center"/>
        <w:rPr>
          <w:b/>
          <w:sz w:val="24"/>
          <w:szCs w:val="24"/>
        </w:rPr>
      </w:pPr>
      <w:r w:rsidRPr="00B71DB4">
        <w:rPr>
          <w:sz w:val="24"/>
          <w:szCs w:val="24"/>
        </w:rPr>
        <w:t xml:space="preserve">Рассмотрим </w:t>
      </w:r>
      <w:proofErr w:type="spellStart"/>
      <w:r w:rsidRPr="00B71DB4">
        <w:rPr>
          <w:sz w:val="24"/>
          <w:szCs w:val="24"/>
        </w:rPr>
        <w:t>тайминг</w:t>
      </w:r>
      <w:proofErr w:type="spellEnd"/>
      <w:r w:rsidRPr="00B71DB4">
        <w:rPr>
          <w:sz w:val="24"/>
          <w:szCs w:val="24"/>
        </w:rPr>
        <w:t xml:space="preserve"> по золоту</w:t>
      </w:r>
      <w:r w:rsidRPr="00B71DB4">
        <w:rPr>
          <w:b/>
          <w:sz w:val="24"/>
          <w:szCs w:val="24"/>
        </w:rPr>
        <w:t xml:space="preserve">. </w:t>
      </w:r>
      <w:r w:rsidRPr="00B71DB4">
        <w:rPr>
          <w:b/>
          <w:sz w:val="24"/>
          <w:szCs w:val="24"/>
          <w:highlight w:val="yellow"/>
        </w:rPr>
        <w:t>04:00 (932</w:t>
      </w:r>
      <w:r w:rsidRPr="00B71DB4">
        <w:rPr>
          <w:b/>
          <w:sz w:val="24"/>
          <w:szCs w:val="24"/>
          <w:highlight w:val="yellow"/>
          <w:lang w:val="en-US"/>
        </w:rPr>
        <w:t>P</w:t>
      </w:r>
      <w:r w:rsidRPr="00B71DB4">
        <w:rPr>
          <w:b/>
          <w:sz w:val="24"/>
          <w:szCs w:val="24"/>
          <w:highlight w:val="yellow"/>
        </w:rPr>
        <w:t>)</w:t>
      </w:r>
      <w:r w:rsidRPr="00B71DB4">
        <w:rPr>
          <w:b/>
          <w:sz w:val="24"/>
          <w:szCs w:val="24"/>
        </w:rPr>
        <w:t xml:space="preserve"> – что это значит?</w:t>
      </w:r>
      <w:r w:rsidRPr="00B71DB4">
        <w:rPr>
          <w:sz w:val="24"/>
          <w:szCs w:val="24"/>
        </w:rPr>
        <w:t xml:space="preserve"> Первое – это время </w:t>
      </w:r>
      <w:r w:rsidRPr="00B71DB4">
        <w:rPr>
          <w:b/>
          <w:sz w:val="24"/>
          <w:szCs w:val="24"/>
          <w:highlight w:val="yellow"/>
        </w:rPr>
        <w:t>04:00</w:t>
      </w:r>
      <w:r w:rsidRPr="00B71DB4">
        <w:rPr>
          <w:sz w:val="24"/>
          <w:szCs w:val="24"/>
        </w:rPr>
        <w:t>, в окрестности которого нужно искать точку входа. В скобках (</w:t>
      </w:r>
      <w:r w:rsidRPr="00B71DB4">
        <w:rPr>
          <w:sz w:val="24"/>
          <w:szCs w:val="24"/>
          <w:highlight w:val="yellow"/>
        </w:rPr>
        <w:t>932</w:t>
      </w:r>
      <w:r w:rsidRPr="00B71DB4">
        <w:rPr>
          <w:sz w:val="24"/>
          <w:szCs w:val="24"/>
          <w:highlight w:val="yellow"/>
          <w:lang w:val="uk-UA"/>
        </w:rPr>
        <w:t>Р</w:t>
      </w:r>
      <w:r w:rsidRPr="00B71DB4">
        <w:rPr>
          <w:sz w:val="24"/>
          <w:szCs w:val="24"/>
        </w:rPr>
        <w:t>)</w:t>
      </w:r>
      <w:r w:rsidRPr="00B71DB4">
        <w:rPr>
          <w:sz w:val="24"/>
          <w:szCs w:val="24"/>
          <w:lang w:val="uk-UA"/>
        </w:rPr>
        <w:t xml:space="preserve"> – </w:t>
      </w:r>
      <w:r w:rsidRPr="00B71DB4">
        <w:rPr>
          <w:sz w:val="24"/>
          <w:szCs w:val="24"/>
        </w:rPr>
        <w:t xml:space="preserve">это количество </w:t>
      </w:r>
      <w:r w:rsidR="00E624FB" w:rsidRPr="00B71DB4">
        <w:rPr>
          <w:sz w:val="24"/>
          <w:szCs w:val="24"/>
          <w:lang w:val="en-US"/>
        </w:rPr>
        <w:t>points</w:t>
      </w:r>
      <w:r w:rsidR="00E624FB" w:rsidRPr="00B71DB4">
        <w:rPr>
          <w:sz w:val="24"/>
          <w:szCs w:val="24"/>
        </w:rPr>
        <w:t xml:space="preserve"> (93 </w:t>
      </w:r>
      <w:r w:rsidR="00E624FB" w:rsidRPr="00B71DB4">
        <w:rPr>
          <w:sz w:val="24"/>
          <w:szCs w:val="24"/>
          <w:lang w:val="en-US"/>
        </w:rPr>
        <w:t>pips</w:t>
      </w:r>
      <w:r w:rsidR="00E624FB" w:rsidRPr="00B71DB4">
        <w:rPr>
          <w:sz w:val="24"/>
          <w:szCs w:val="24"/>
        </w:rPr>
        <w:t>)</w:t>
      </w:r>
      <w:r w:rsidRPr="00B71DB4">
        <w:rPr>
          <w:sz w:val="24"/>
          <w:szCs w:val="24"/>
        </w:rPr>
        <w:t xml:space="preserve">, которое прогнозирует индикатор </w:t>
      </w:r>
      <w:proofErr w:type="spellStart"/>
      <w:r w:rsidRPr="00B71DB4">
        <w:rPr>
          <w:b/>
          <w:sz w:val="24"/>
          <w:szCs w:val="24"/>
          <w:lang w:val="en-US"/>
        </w:rPr>
        <w:t>iVISTscalp</w:t>
      </w:r>
      <w:proofErr w:type="spellEnd"/>
      <w:r w:rsidRPr="00B71DB4">
        <w:rPr>
          <w:b/>
          <w:sz w:val="24"/>
          <w:szCs w:val="24"/>
        </w:rPr>
        <w:t xml:space="preserve">5. Что обозначает этот прогноз </w:t>
      </w:r>
      <w:r w:rsidR="00C45416" w:rsidRPr="00B71DB4">
        <w:rPr>
          <w:b/>
          <w:sz w:val="24"/>
          <w:szCs w:val="24"/>
          <w:lang w:val="en-US"/>
        </w:rPr>
        <w:t>points</w:t>
      </w:r>
      <w:r w:rsidRPr="00B71DB4">
        <w:rPr>
          <w:b/>
          <w:sz w:val="24"/>
          <w:szCs w:val="24"/>
        </w:rPr>
        <w:t xml:space="preserve">? </w:t>
      </w:r>
      <w:r w:rsidRPr="00B71DB4">
        <w:rPr>
          <w:sz w:val="24"/>
          <w:szCs w:val="24"/>
        </w:rPr>
        <w:t xml:space="preserve">Это означает, что в среднем (при всех благоприятных условиях) на интервале времени тайминга, например, </w:t>
      </w:r>
      <w:r w:rsidRPr="00B71DB4">
        <w:rPr>
          <w:b/>
          <w:sz w:val="24"/>
          <w:szCs w:val="24"/>
          <w:highlight w:val="yellow"/>
        </w:rPr>
        <w:t>7 минут</w:t>
      </w:r>
      <w:r w:rsidRPr="00B71DB4">
        <w:rPr>
          <w:b/>
          <w:sz w:val="24"/>
          <w:szCs w:val="24"/>
        </w:rPr>
        <w:t>, как</w:t>
      </w:r>
      <w:r w:rsidRPr="00B71DB4">
        <w:rPr>
          <w:sz w:val="24"/>
          <w:szCs w:val="24"/>
        </w:rPr>
        <w:t xml:space="preserve"> в нашем случае, можно получить </w:t>
      </w:r>
      <w:r w:rsidRPr="00B71DB4">
        <w:rPr>
          <w:b/>
          <w:sz w:val="24"/>
          <w:szCs w:val="24"/>
          <w:highlight w:val="yellow"/>
        </w:rPr>
        <w:t xml:space="preserve">932 </w:t>
      </w:r>
      <w:r w:rsidR="00C45416" w:rsidRPr="00B71DB4">
        <w:rPr>
          <w:b/>
          <w:sz w:val="24"/>
          <w:szCs w:val="24"/>
          <w:lang w:val="en-US"/>
        </w:rPr>
        <w:t>points</w:t>
      </w:r>
      <w:r w:rsidR="00E624FB" w:rsidRPr="00B71DB4">
        <w:rPr>
          <w:b/>
          <w:sz w:val="24"/>
          <w:szCs w:val="24"/>
        </w:rPr>
        <w:t xml:space="preserve"> </w:t>
      </w:r>
      <w:r w:rsidR="00E624FB" w:rsidRPr="00B71DB4">
        <w:rPr>
          <w:sz w:val="24"/>
          <w:szCs w:val="24"/>
        </w:rPr>
        <w:t xml:space="preserve">(93 </w:t>
      </w:r>
      <w:r w:rsidR="00E624FB" w:rsidRPr="00B71DB4">
        <w:rPr>
          <w:sz w:val="24"/>
          <w:szCs w:val="24"/>
          <w:lang w:val="en-US"/>
        </w:rPr>
        <w:t>pips</w:t>
      </w:r>
      <w:r w:rsidR="00E624FB" w:rsidRPr="00B71DB4">
        <w:rPr>
          <w:sz w:val="24"/>
          <w:szCs w:val="24"/>
        </w:rPr>
        <w:t>)</w:t>
      </w:r>
      <w:r w:rsidRPr="00B71DB4">
        <w:rPr>
          <w:b/>
          <w:sz w:val="24"/>
          <w:szCs w:val="24"/>
        </w:rPr>
        <w:t xml:space="preserve"> по паре </w:t>
      </w:r>
      <w:r w:rsidRPr="00B71DB4">
        <w:rPr>
          <w:b/>
          <w:sz w:val="24"/>
          <w:szCs w:val="24"/>
          <w:lang w:val="en-US"/>
        </w:rPr>
        <w:t>XAUUSD</w:t>
      </w:r>
      <w:r w:rsidRPr="00B71DB4">
        <w:rPr>
          <w:sz w:val="24"/>
          <w:szCs w:val="24"/>
        </w:rPr>
        <w:t xml:space="preserve">. Помним, что наша система – это </w:t>
      </w:r>
      <w:proofErr w:type="spellStart"/>
      <w:r w:rsidRPr="00B71DB4">
        <w:rPr>
          <w:sz w:val="24"/>
          <w:szCs w:val="24"/>
        </w:rPr>
        <w:t>скальпинг</w:t>
      </w:r>
      <w:proofErr w:type="spellEnd"/>
      <w:r w:rsidRPr="00B71DB4">
        <w:rPr>
          <w:sz w:val="24"/>
          <w:szCs w:val="24"/>
        </w:rPr>
        <w:t xml:space="preserve"> по времени. </w:t>
      </w:r>
      <w:proofErr w:type="spellStart"/>
      <w:r w:rsidRPr="00B71DB4">
        <w:rPr>
          <w:b/>
          <w:sz w:val="24"/>
          <w:szCs w:val="24"/>
        </w:rPr>
        <w:t>Скальпинг</w:t>
      </w:r>
      <w:proofErr w:type="spellEnd"/>
      <w:r w:rsidRPr="00B71DB4">
        <w:rPr>
          <w:b/>
          <w:sz w:val="24"/>
          <w:szCs w:val="24"/>
        </w:rPr>
        <w:t xml:space="preserve"> – это быстрая сделка большим объемом.</w:t>
      </w:r>
    </w:p>
    <w:p w:rsidR="00CD0B1B" w:rsidRPr="00B71DB4" w:rsidRDefault="00CD0B1B" w:rsidP="00B71DB4">
      <w:pPr>
        <w:spacing w:line="240" w:lineRule="auto"/>
        <w:jc w:val="center"/>
        <w:rPr>
          <w:b/>
          <w:sz w:val="24"/>
          <w:szCs w:val="24"/>
        </w:rPr>
      </w:pPr>
      <w:r w:rsidRPr="00B71DB4">
        <w:rPr>
          <w:b/>
          <w:sz w:val="24"/>
          <w:szCs w:val="24"/>
          <w:highlight w:val="lightGray"/>
        </w:rPr>
        <w:t xml:space="preserve">Для удобства все измерение движения цены будем называть </w:t>
      </w:r>
      <w:r w:rsidR="00E624FB" w:rsidRPr="00B71DB4">
        <w:rPr>
          <w:b/>
          <w:sz w:val="24"/>
          <w:szCs w:val="24"/>
          <w:highlight w:val="lightGray"/>
          <w:lang w:val="en-US"/>
        </w:rPr>
        <w:t>points</w:t>
      </w:r>
      <w:r w:rsidRPr="00B71DB4">
        <w:rPr>
          <w:b/>
          <w:sz w:val="24"/>
          <w:szCs w:val="24"/>
          <w:highlight w:val="lightGray"/>
        </w:rPr>
        <w:t>.</w:t>
      </w:r>
      <w:r w:rsidRPr="00B71DB4">
        <w:rPr>
          <w:b/>
          <w:sz w:val="24"/>
          <w:szCs w:val="24"/>
        </w:rPr>
        <w:t xml:space="preserve"> </w:t>
      </w:r>
    </w:p>
    <w:p w:rsidR="00CD0B1B" w:rsidRPr="00B71DB4" w:rsidRDefault="00CD0B1B" w:rsidP="00B71DB4">
      <w:pPr>
        <w:spacing w:line="240" w:lineRule="auto"/>
        <w:jc w:val="center"/>
        <w:rPr>
          <w:b/>
          <w:sz w:val="24"/>
          <w:szCs w:val="24"/>
        </w:rPr>
      </w:pPr>
      <w:r w:rsidRPr="00B71DB4">
        <w:rPr>
          <w:b/>
          <w:sz w:val="24"/>
          <w:szCs w:val="24"/>
        </w:rPr>
        <w:t xml:space="preserve">Ниже представлена таблица котировок разных инструментов и прогноз по индикатору </w:t>
      </w:r>
      <w:proofErr w:type="spellStart"/>
      <w:r w:rsidRPr="00B71DB4">
        <w:rPr>
          <w:b/>
          <w:sz w:val="24"/>
          <w:szCs w:val="24"/>
          <w:lang w:val="en-US"/>
        </w:rPr>
        <w:t>iVISTscalp</w:t>
      </w:r>
      <w:proofErr w:type="spellEnd"/>
      <w:r w:rsidRPr="00B71DB4">
        <w:rPr>
          <w:b/>
          <w:sz w:val="24"/>
          <w:szCs w:val="24"/>
        </w:rPr>
        <w:t xml:space="preserve">5 по количеству </w:t>
      </w:r>
      <w:r w:rsidR="00E624FB" w:rsidRPr="00B71DB4">
        <w:rPr>
          <w:b/>
          <w:sz w:val="24"/>
          <w:szCs w:val="24"/>
          <w:lang w:val="en-US"/>
        </w:rPr>
        <w:t>points</w:t>
      </w:r>
      <w:r w:rsidR="00E624FB" w:rsidRPr="00B71DB4">
        <w:rPr>
          <w:b/>
          <w:sz w:val="24"/>
          <w:szCs w:val="24"/>
        </w:rPr>
        <w:t>/</w:t>
      </w:r>
      <w:r w:rsidRPr="00B71DB4">
        <w:rPr>
          <w:b/>
          <w:sz w:val="24"/>
          <w:szCs w:val="24"/>
          <w:lang w:val="en-US"/>
        </w:rPr>
        <w:t>pips</w:t>
      </w:r>
      <w:r w:rsidRPr="00B71DB4">
        <w:rPr>
          <w:b/>
          <w:sz w:val="24"/>
          <w:szCs w:val="24"/>
        </w:rPr>
        <w:t xml:space="preserve">. Слева представлены котировки нашего терминала мт5, на котором установлен индикатор </w:t>
      </w:r>
      <w:proofErr w:type="spellStart"/>
      <w:r w:rsidRPr="00B71DB4">
        <w:rPr>
          <w:b/>
          <w:sz w:val="24"/>
          <w:szCs w:val="24"/>
          <w:lang w:val="en-US"/>
        </w:rPr>
        <w:t>iVISTscalp</w:t>
      </w:r>
      <w:proofErr w:type="spellEnd"/>
      <w:r w:rsidRPr="00B71DB4">
        <w:rPr>
          <w:b/>
          <w:sz w:val="24"/>
          <w:szCs w:val="24"/>
        </w:rPr>
        <w:t xml:space="preserve">5. Справа – как выглядит прогноз, если котировки в вашем терминале отличаются от котировок, по которым мы рассчитываем прогноз </w:t>
      </w:r>
      <w:r w:rsidR="00C45416" w:rsidRPr="00B71DB4">
        <w:rPr>
          <w:b/>
          <w:sz w:val="24"/>
          <w:szCs w:val="24"/>
          <w:lang w:val="en-US"/>
        </w:rPr>
        <w:t>points</w:t>
      </w:r>
      <w:r w:rsidRPr="00B71DB4">
        <w:rPr>
          <w:b/>
          <w:sz w:val="24"/>
          <w:szCs w:val="24"/>
        </w:rPr>
        <w:t xml:space="preserve">. </w:t>
      </w:r>
    </w:p>
    <w:p w:rsidR="00CD0B1B" w:rsidRPr="00B71DB4" w:rsidRDefault="00CD0B1B" w:rsidP="00B71DB4">
      <w:pPr>
        <w:spacing w:line="240" w:lineRule="auto"/>
        <w:jc w:val="center"/>
        <w:rPr>
          <w:b/>
          <w:sz w:val="24"/>
          <w:szCs w:val="24"/>
          <w:lang w:val="en-US"/>
        </w:rPr>
      </w:pPr>
      <w:r w:rsidRPr="00B71DB4">
        <w:rPr>
          <w:b/>
          <w:sz w:val="24"/>
          <w:szCs w:val="24"/>
          <w:highlight w:val="yellow"/>
        </w:rPr>
        <w:t>Основное отличие в котировках может быть только по количеству цифр после запятой.</w:t>
      </w:r>
      <w:r w:rsidRPr="00B71DB4">
        <w:rPr>
          <w:b/>
          <w:sz w:val="24"/>
          <w:szCs w:val="24"/>
        </w:rPr>
        <w:t xml:space="preserve"> При этом будет отличаться прогноз по количеству </w:t>
      </w:r>
      <w:r w:rsidR="00E624FB" w:rsidRPr="00B71DB4">
        <w:rPr>
          <w:b/>
          <w:sz w:val="24"/>
          <w:szCs w:val="24"/>
          <w:lang w:val="en-US"/>
        </w:rPr>
        <w:t>points/</w:t>
      </w:r>
      <w:r w:rsidRPr="00B71DB4">
        <w:rPr>
          <w:b/>
          <w:sz w:val="24"/>
          <w:szCs w:val="24"/>
          <w:lang w:val="en-US"/>
        </w:rPr>
        <w:t>pips.</w:t>
      </w:r>
    </w:p>
    <w:tbl>
      <w:tblPr>
        <w:tblStyle w:val="a3"/>
        <w:tblW w:w="0" w:type="auto"/>
        <w:jc w:val="center"/>
        <w:tblLook w:val="04A0"/>
      </w:tblPr>
      <w:tblGrid>
        <w:gridCol w:w="1234"/>
        <w:gridCol w:w="2094"/>
        <w:gridCol w:w="2094"/>
        <w:gridCol w:w="1674"/>
        <w:gridCol w:w="1125"/>
      </w:tblGrid>
      <w:tr w:rsidR="00CD0B1B" w:rsidRPr="00B71DB4" w:rsidTr="0018348C">
        <w:trPr>
          <w:jc w:val="center"/>
        </w:trPr>
        <w:tc>
          <w:tcPr>
            <w:tcW w:w="1234" w:type="dxa"/>
            <w:tcBorders>
              <w:top w:val="single" w:sz="24" w:space="0" w:color="17365D" w:themeColor="text2" w:themeShade="BF"/>
              <w:left w:val="single" w:sz="24" w:space="0" w:color="17365D" w:themeColor="text2" w:themeShade="BF"/>
              <w:bottom w:val="single" w:sz="24" w:space="0" w:color="17365D" w:themeColor="text2" w:themeShade="BF"/>
              <w:right w:val="single" w:sz="24" w:space="0" w:color="17365D" w:themeColor="text2" w:themeShade="BF"/>
            </w:tcBorders>
          </w:tcPr>
          <w:p w:rsidR="00CD0B1B" w:rsidRPr="00B71DB4" w:rsidRDefault="00CD0B1B" w:rsidP="0018348C">
            <w:pPr>
              <w:jc w:val="center"/>
              <w:rPr>
                <w:b/>
                <w:color w:val="FF0000"/>
                <w:sz w:val="20"/>
                <w:szCs w:val="20"/>
                <w:lang w:val="en-US"/>
              </w:rPr>
            </w:pPr>
            <w:proofErr w:type="spellStart"/>
            <w:r w:rsidRPr="00B71DB4">
              <w:rPr>
                <w:b/>
                <w:color w:val="FF0000"/>
                <w:sz w:val="20"/>
                <w:szCs w:val="20"/>
                <w:lang w:val="en-US"/>
              </w:rPr>
              <w:t>Simbols</w:t>
            </w:r>
            <w:proofErr w:type="spellEnd"/>
          </w:p>
        </w:tc>
        <w:tc>
          <w:tcPr>
            <w:tcW w:w="1719" w:type="dxa"/>
            <w:tcBorders>
              <w:top w:val="single" w:sz="24" w:space="0" w:color="17365D" w:themeColor="text2" w:themeShade="BF"/>
              <w:left w:val="single" w:sz="24" w:space="0" w:color="17365D" w:themeColor="text2" w:themeShade="BF"/>
              <w:bottom w:val="single" w:sz="24" w:space="0" w:color="17365D" w:themeColor="text2" w:themeShade="BF"/>
              <w:right w:val="single" w:sz="24" w:space="0" w:color="17365D" w:themeColor="text2" w:themeShade="BF"/>
            </w:tcBorders>
            <w:shd w:val="clear" w:color="auto" w:fill="B6DDE8" w:themeFill="accent5" w:themeFillTint="66"/>
          </w:tcPr>
          <w:p w:rsidR="00CD0B1B" w:rsidRPr="00B71DB4" w:rsidRDefault="00CD0B1B" w:rsidP="0018348C">
            <w:pPr>
              <w:jc w:val="center"/>
              <w:rPr>
                <w:b/>
                <w:color w:val="FF0000"/>
                <w:sz w:val="20"/>
                <w:szCs w:val="20"/>
                <w:lang w:val="en-US"/>
              </w:rPr>
            </w:pPr>
            <w:r w:rsidRPr="00B71DB4">
              <w:rPr>
                <w:b/>
                <w:color w:val="FF0000"/>
                <w:sz w:val="20"/>
                <w:szCs w:val="20"/>
                <w:lang w:val="en-US"/>
              </w:rPr>
              <w:t>Quote VIST mt5</w:t>
            </w:r>
          </w:p>
          <w:p w:rsidR="00CD0B1B" w:rsidRPr="00B71DB4" w:rsidRDefault="00CD0B1B" w:rsidP="0018348C">
            <w:pPr>
              <w:jc w:val="center"/>
              <w:rPr>
                <w:color w:val="FF0000"/>
                <w:sz w:val="20"/>
                <w:szCs w:val="20"/>
                <w:lang w:val="en-US"/>
              </w:rPr>
            </w:pPr>
            <w:r w:rsidRPr="00B71DB4">
              <w:rPr>
                <w:color w:val="FF0000"/>
                <w:sz w:val="20"/>
                <w:szCs w:val="20"/>
                <w:lang w:val="en-US"/>
              </w:rPr>
              <w:t>(Telegram https://t.me/vistmany)</w:t>
            </w:r>
          </w:p>
        </w:tc>
        <w:tc>
          <w:tcPr>
            <w:tcW w:w="1719" w:type="dxa"/>
            <w:tcBorders>
              <w:top w:val="single" w:sz="24" w:space="0" w:color="17365D" w:themeColor="text2" w:themeShade="BF"/>
              <w:left w:val="single" w:sz="24" w:space="0" w:color="17365D" w:themeColor="text2" w:themeShade="BF"/>
              <w:bottom w:val="single" w:sz="24" w:space="0" w:color="17365D" w:themeColor="text2" w:themeShade="BF"/>
              <w:right w:val="single" w:sz="24" w:space="0" w:color="17365D" w:themeColor="text2" w:themeShade="BF"/>
            </w:tcBorders>
            <w:shd w:val="clear" w:color="auto" w:fill="B6DDE8" w:themeFill="accent5" w:themeFillTint="66"/>
          </w:tcPr>
          <w:p w:rsidR="00CD0B1B" w:rsidRPr="00B71DB4" w:rsidRDefault="00CD0B1B" w:rsidP="0018348C">
            <w:pPr>
              <w:jc w:val="center"/>
              <w:rPr>
                <w:b/>
                <w:color w:val="FF0000"/>
                <w:sz w:val="20"/>
                <w:szCs w:val="20"/>
                <w:lang w:val="en-US"/>
              </w:rPr>
            </w:pPr>
            <w:r w:rsidRPr="00B71DB4">
              <w:rPr>
                <w:b/>
                <w:color w:val="FF0000"/>
                <w:sz w:val="20"/>
                <w:szCs w:val="20"/>
                <w:lang w:val="en-US"/>
              </w:rPr>
              <w:t xml:space="preserve">VIST forecast in </w:t>
            </w:r>
            <w:r w:rsidRPr="00B71DB4">
              <w:rPr>
                <w:color w:val="FF0000"/>
                <w:sz w:val="20"/>
                <w:szCs w:val="20"/>
                <w:lang w:val="en-US"/>
              </w:rPr>
              <w:t>(Telegram https://t.me/vistmany)</w:t>
            </w:r>
          </w:p>
        </w:tc>
        <w:tc>
          <w:tcPr>
            <w:tcW w:w="1674" w:type="dxa"/>
            <w:tcBorders>
              <w:left w:val="single" w:sz="24" w:space="0" w:color="17365D" w:themeColor="text2" w:themeShade="BF"/>
            </w:tcBorders>
          </w:tcPr>
          <w:p w:rsidR="00CD0B1B" w:rsidRPr="00B71DB4" w:rsidRDefault="00CD0B1B" w:rsidP="0018348C">
            <w:pPr>
              <w:jc w:val="center"/>
              <w:rPr>
                <w:b/>
                <w:sz w:val="20"/>
                <w:szCs w:val="20"/>
                <w:lang w:val="en-US"/>
              </w:rPr>
            </w:pPr>
            <w:r w:rsidRPr="00B71DB4">
              <w:rPr>
                <w:b/>
                <w:sz w:val="20"/>
                <w:szCs w:val="20"/>
                <w:lang w:val="en-US"/>
              </w:rPr>
              <w:t>Quote mt5</w:t>
            </w:r>
          </w:p>
          <w:p w:rsidR="00CD0B1B" w:rsidRPr="00B71DB4" w:rsidRDefault="00CD0B1B" w:rsidP="0018348C">
            <w:pPr>
              <w:jc w:val="center"/>
              <w:rPr>
                <w:sz w:val="20"/>
                <w:szCs w:val="20"/>
                <w:lang w:val="en-US"/>
              </w:rPr>
            </w:pPr>
            <w:r w:rsidRPr="00B71DB4">
              <w:rPr>
                <w:sz w:val="20"/>
                <w:szCs w:val="20"/>
                <w:lang w:val="en-US"/>
              </w:rPr>
              <w:t>(If the quotes differ from VIST)</w:t>
            </w:r>
          </w:p>
        </w:tc>
        <w:tc>
          <w:tcPr>
            <w:tcW w:w="1125" w:type="dxa"/>
          </w:tcPr>
          <w:p w:rsidR="00CD0B1B" w:rsidRPr="00B71DB4" w:rsidRDefault="00CD0B1B" w:rsidP="0018348C">
            <w:pPr>
              <w:jc w:val="center"/>
              <w:rPr>
                <w:sz w:val="20"/>
                <w:szCs w:val="20"/>
                <w:lang w:val="en-US"/>
              </w:rPr>
            </w:pPr>
            <w:r w:rsidRPr="00B71DB4">
              <w:rPr>
                <w:b/>
                <w:sz w:val="20"/>
                <w:szCs w:val="20"/>
                <w:lang w:val="en-US"/>
              </w:rPr>
              <w:t>Forecast</w:t>
            </w:r>
          </w:p>
        </w:tc>
      </w:tr>
      <w:tr w:rsidR="008B379E" w:rsidRPr="00B71DB4" w:rsidTr="0018348C">
        <w:trPr>
          <w:jc w:val="center"/>
        </w:trPr>
        <w:tc>
          <w:tcPr>
            <w:tcW w:w="1234" w:type="dxa"/>
            <w:tcBorders>
              <w:top w:val="single" w:sz="24" w:space="0" w:color="17365D" w:themeColor="text2" w:themeShade="BF"/>
              <w:left w:val="single" w:sz="24" w:space="0" w:color="17365D" w:themeColor="text2" w:themeShade="BF"/>
              <w:bottom w:val="single" w:sz="24" w:space="0" w:color="17365D" w:themeColor="text2" w:themeShade="BF"/>
              <w:right w:val="single" w:sz="24" w:space="0" w:color="17365D" w:themeColor="text2" w:themeShade="BF"/>
            </w:tcBorders>
          </w:tcPr>
          <w:p w:rsidR="008B379E" w:rsidRPr="00B71DB4" w:rsidRDefault="008B379E" w:rsidP="0018348C">
            <w:pPr>
              <w:jc w:val="center"/>
              <w:rPr>
                <w:sz w:val="20"/>
                <w:szCs w:val="20"/>
                <w:lang w:val="en-US"/>
              </w:rPr>
            </w:pPr>
            <w:r w:rsidRPr="00B71DB4">
              <w:rPr>
                <w:sz w:val="20"/>
                <w:szCs w:val="20"/>
                <w:lang w:val="en-US"/>
              </w:rPr>
              <w:t>XAU/USD</w:t>
            </w:r>
          </w:p>
        </w:tc>
        <w:tc>
          <w:tcPr>
            <w:tcW w:w="1719" w:type="dxa"/>
            <w:tcBorders>
              <w:top w:val="single" w:sz="24" w:space="0" w:color="17365D" w:themeColor="text2" w:themeShade="BF"/>
              <w:left w:val="single" w:sz="24" w:space="0" w:color="17365D" w:themeColor="text2" w:themeShade="BF"/>
              <w:bottom w:val="single" w:sz="24" w:space="0" w:color="17365D" w:themeColor="text2" w:themeShade="BF"/>
              <w:right w:val="single" w:sz="24" w:space="0" w:color="17365D" w:themeColor="text2" w:themeShade="BF"/>
            </w:tcBorders>
            <w:shd w:val="clear" w:color="auto" w:fill="B6DDE8" w:themeFill="accent5" w:themeFillTint="66"/>
          </w:tcPr>
          <w:p w:rsidR="008B379E" w:rsidRPr="00B71DB4" w:rsidRDefault="008B379E" w:rsidP="0018348C">
            <w:pPr>
              <w:jc w:val="center"/>
              <w:rPr>
                <w:sz w:val="20"/>
                <w:szCs w:val="20"/>
                <w:lang w:val="en-US"/>
              </w:rPr>
            </w:pPr>
            <w:r w:rsidRPr="00B71DB4">
              <w:rPr>
                <w:sz w:val="20"/>
                <w:szCs w:val="20"/>
                <w:lang w:val="en-US"/>
              </w:rPr>
              <w:t>1937,</w:t>
            </w:r>
            <w:r w:rsidRPr="00B71DB4">
              <w:rPr>
                <w:sz w:val="20"/>
                <w:szCs w:val="20"/>
                <w:highlight w:val="yellow"/>
                <w:lang w:val="en-US"/>
              </w:rPr>
              <w:t>260</w:t>
            </w:r>
          </w:p>
        </w:tc>
        <w:tc>
          <w:tcPr>
            <w:tcW w:w="1719" w:type="dxa"/>
            <w:tcBorders>
              <w:top w:val="single" w:sz="24" w:space="0" w:color="17365D" w:themeColor="text2" w:themeShade="BF"/>
              <w:left w:val="single" w:sz="24" w:space="0" w:color="17365D" w:themeColor="text2" w:themeShade="BF"/>
              <w:bottom w:val="single" w:sz="24" w:space="0" w:color="17365D" w:themeColor="text2" w:themeShade="BF"/>
              <w:right w:val="single" w:sz="24" w:space="0" w:color="17365D" w:themeColor="text2" w:themeShade="BF"/>
            </w:tcBorders>
            <w:shd w:val="clear" w:color="auto" w:fill="B6DDE8" w:themeFill="accent5" w:themeFillTint="66"/>
          </w:tcPr>
          <w:p w:rsidR="008B379E" w:rsidRPr="00B71DB4" w:rsidRDefault="008B379E" w:rsidP="004324E5">
            <w:pPr>
              <w:jc w:val="center"/>
              <w:rPr>
                <w:b/>
                <w:sz w:val="20"/>
                <w:szCs w:val="20"/>
                <w:lang w:val="en-US"/>
              </w:rPr>
            </w:pPr>
            <w:r w:rsidRPr="00B71DB4">
              <w:rPr>
                <w:b/>
                <w:sz w:val="20"/>
                <w:szCs w:val="20"/>
                <w:lang w:val="en-US"/>
              </w:rPr>
              <w:t>1450 poin</w:t>
            </w:r>
            <w:r w:rsidR="00E868C8" w:rsidRPr="00B71DB4">
              <w:rPr>
                <w:b/>
                <w:sz w:val="20"/>
                <w:szCs w:val="20"/>
                <w:lang w:val="en-US"/>
              </w:rPr>
              <w:t>t</w:t>
            </w:r>
            <w:r w:rsidRPr="00B71DB4">
              <w:rPr>
                <w:b/>
                <w:sz w:val="20"/>
                <w:szCs w:val="20"/>
                <w:lang w:val="en-US"/>
              </w:rPr>
              <w:t>s</w:t>
            </w:r>
          </w:p>
        </w:tc>
        <w:tc>
          <w:tcPr>
            <w:tcW w:w="1674" w:type="dxa"/>
            <w:tcBorders>
              <w:left w:val="single" w:sz="24" w:space="0" w:color="17365D" w:themeColor="text2" w:themeShade="BF"/>
            </w:tcBorders>
          </w:tcPr>
          <w:p w:rsidR="008B379E" w:rsidRPr="00B71DB4" w:rsidRDefault="008B379E" w:rsidP="0018348C">
            <w:pPr>
              <w:jc w:val="center"/>
              <w:rPr>
                <w:sz w:val="20"/>
                <w:szCs w:val="20"/>
                <w:lang w:val="en-US"/>
              </w:rPr>
            </w:pPr>
            <w:r w:rsidRPr="00B71DB4">
              <w:rPr>
                <w:sz w:val="20"/>
                <w:szCs w:val="20"/>
                <w:lang w:val="en-US"/>
              </w:rPr>
              <w:t>1937,</w:t>
            </w:r>
            <w:r w:rsidRPr="00B71DB4">
              <w:rPr>
                <w:sz w:val="20"/>
                <w:szCs w:val="20"/>
                <w:highlight w:val="yellow"/>
                <w:lang w:val="en-US"/>
              </w:rPr>
              <w:t>26</w:t>
            </w:r>
          </w:p>
        </w:tc>
        <w:tc>
          <w:tcPr>
            <w:tcW w:w="1125" w:type="dxa"/>
          </w:tcPr>
          <w:p w:rsidR="008B379E" w:rsidRPr="00B71DB4" w:rsidRDefault="008B379E" w:rsidP="004324E5">
            <w:pPr>
              <w:jc w:val="center"/>
              <w:rPr>
                <w:sz w:val="20"/>
                <w:szCs w:val="20"/>
                <w:lang w:val="en-US"/>
              </w:rPr>
            </w:pPr>
            <w:r w:rsidRPr="00B71DB4">
              <w:rPr>
                <w:sz w:val="20"/>
                <w:szCs w:val="20"/>
                <w:lang w:val="en-US"/>
              </w:rPr>
              <w:t>145 pips</w:t>
            </w:r>
          </w:p>
        </w:tc>
      </w:tr>
      <w:tr w:rsidR="008B379E" w:rsidRPr="00B71DB4" w:rsidTr="0018348C">
        <w:trPr>
          <w:jc w:val="center"/>
        </w:trPr>
        <w:tc>
          <w:tcPr>
            <w:tcW w:w="1234" w:type="dxa"/>
            <w:tcBorders>
              <w:top w:val="single" w:sz="24" w:space="0" w:color="17365D" w:themeColor="text2" w:themeShade="BF"/>
              <w:left w:val="single" w:sz="24" w:space="0" w:color="17365D" w:themeColor="text2" w:themeShade="BF"/>
              <w:bottom w:val="single" w:sz="24" w:space="0" w:color="17365D" w:themeColor="text2" w:themeShade="BF"/>
              <w:right w:val="single" w:sz="24" w:space="0" w:color="17365D" w:themeColor="text2" w:themeShade="BF"/>
            </w:tcBorders>
          </w:tcPr>
          <w:p w:rsidR="008B379E" w:rsidRPr="00B71DB4" w:rsidRDefault="008B379E" w:rsidP="0018348C">
            <w:pPr>
              <w:jc w:val="center"/>
              <w:rPr>
                <w:sz w:val="20"/>
                <w:szCs w:val="20"/>
                <w:lang w:val="en-US"/>
              </w:rPr>
            </w:pPr>
            <w:proofErr w:type="spellStart"/>
            <w:r w:rsidRPr="00B71DB4">
              <w:rPr>
                <w:sz w:val="20"/>
                <w:szCs w:val="20"/>
                <w:lang w:val="en-US"/>
              </w:rPr>
              <w:t>DowJones</w:t>
            </w:r>
            <w:proofErr w:type="spellEnd"/>
          </w:p>
        </w:tc>
        <w:tc>
          <w:tcPr>
            <w:tcW w:w="1719" w:type="dxa"/>
            <w:tcBorders>
              <w:top w:val="single" w:sz="24" w:space="0" w:color="17365D" w:themeColor="text2" w:themeShade="BF"/>
              <w:left w:val="single" w:sz="24" w:space="0" w:color="17365D" w:themeColor="text2" w:themeShade="BF"/>
              <w:bottom w:val="single" w:sz="24" w:space="0" w:color="17365D" w:themeColor="text2" w:themeShade="BF"/>
              <w:right w:val="single" w:sz="24" w:space="0" w:color="17365D" w:themeColor="text2" w:themeShade="BF"/>
            </w:tcBorders>
            <w:shd w:val="clear" w:color="auto" w:fill="B6DDE8" w:themeFill="accent5" w:themeFillTint="66"/>
          </w:tcPr>
          <w:p w:rsidR="008B379E" w:rsidRPr="00B71DB4" w:rsidRDefault="008B379E" w:rsidP="0018348C">
            <w:pPr>
              <w:jc w:val="center"/>
              <w:rPr>
                <w:sz w:val="20"/>
                <w:szCs w:val="20"/>
                <w:lang w:val="en-US"/>
              </w:rPr>
            </w:pPr>
            <w:r w:rsidRPr="00B71DB4">
              <w:rPr>
                <w:sz w:val="20"/>
                <w:szCs w:val="20"/>
                <w:lang w:val="en-US"/>
              </w:rPr>
              <w:t>34090,</w:t>
            </w:r>
            <w:r w:rsidRPr="00B71DB4">
              <w:rPr>
                <w:sz w:val="20"/>
                <w:szCs w:val="20"/>
                <w:highlight w:val="yellow"/>
                <w:lang w:val="en-US"/>
              </w:rPr>
              <w:t>8</w:t>
            </w:r>
          </w:p>
        </w:tc>
        <w:tc>
          <w:tcPr>
            <w:tcW w:w="1719" w:type="dxa"/>
            <w:tcBorders>
              <w:top w:val="single" w:sz="24" w:space="0" w:color="17365D" w:themeColor="text2" w:themeShade="BF"/>
              <w:left w:val="single" w:sz="24" w:space="0" w:color="17365D" w:themeColor="text2" w:themeShade="BF"/>
              <w:bottom w:val="single" w:sz="24" w:space="0" w:color="17365D" w:themeColor="text2" w:themeShade="BF"/>
              <w:right w:val="single" w:sz="24" w:space="0" w:color="17365D" w:themeColor="text2" w:themeShade="BF"/>
            </w:tcBorders>
            <w:shd w:val="clear" w:color="auto" w:fill="B6DDE8" w:themeFill="accent5" w:themeFillTint="66"/>
          </w:tcPr>
          <w:p w:rsidR="008B379E" w:rsidRPr="00B71DB4" w:rsidRDefault="008B379E" w:rsidP="004324E5">
            <w:pPr>
              <w:jc w:val="center"/>
              <w:rPr>
                <w:b/>
                <w:sz w:val="20"/>
                <w:szCs w:val="20"/>
                <w:lang w:val="en-US"/>
              </w:rPr>
            </w:pPr>
            <w:r w:rsidRPr="00B71DB4">
              <w:rPr>
                <w:b/>
                <w:sz w:val="20"/>
                <w:szCs w:val="20"/>
                <w:lang w:val="en-US"/>
              </w:rPr>
              <w:t>300 poin</w:t>
            </w:r>
            <w:r w:rsidR="00E868C8" w:rsidRPr="00B71DB4">
              <w:rPr>
                <w:b/>
                <w:sz w:val="20"/>
                <w:szCs w:val="20"/>
                <w:lang w:val="en-US"/>
              </w:rPr>
              <w:t>t</w:t>
            </w:r>
            <w:r w:rsidRPr="00B71DB4">
              <w:rPr>
                <w:b/>
                <w:sz w:val="20"/>
                <w:szCs w:val="20"/>
                <w:lang w:val="en-US"/>
              </w:rPr>
              <w:t>s</w:t>
            </w:r>
          </w:p>
        </w:tc>
        <w:tc>
          <w:tcPr>
            <w:tcW w:w="1674" w:type="dxa"/>
            <w:tcBorders>
              <w:left w:val="single" w:sz="24" w:space="0" w:color="17365D" w:themeColor="text2" w:themeShade="BF"/>
            </w:tcBorders>
          </w:tcPr>
          <w:p w:rsidR="008B379E" w:rsidRPr="00B71DB4" w:rsidRDefault="008B379E" w:rsidP="0018348C">
            <w:pPr>
              <w:jc w:val="center"/>
              <w:rPr>
                <w:sz w:val="20"/>
                <w:szCs w:val="20"/>
                <w:lang w:val="en-US"/>
              </w:rPr>
            </w:pPr>
            <w:r w:rsidRPr="00B71DB4">
              <w:rPr>
                <w:sz w:val="20"/>
                <w:szCs w:val="20"/>
                <w:lang w:val="en-US"/>
              </w:rPr>
              <w:t>34090,</w:t>
            </w:r>
            <w:r w:rsidRPr="00B71DB4">
              <w:rPr>
                <w:sz w:val="20"/>
                <w:szCs w:val="20"/>
                <w:highlight w:val="yellow"/>
                <w:lang w:val="en-US"/>
              </w:rPr>
              <w:t>80</w:t>
            </w:r>
          </w:p>
        </w:tc>
        <w:tc>
          <w:tcPr>
            <w:tcW w:w="1125" w:type="dxa"/>
          </w:tcPr>
          <w:p w:rsidR="008B379E" w:rsidRPr="00B71DB4" w:rsidRDefault="008B379E" w:rsidP="004324E5">
            <w:pPr>
              <w:jc w:val="center"/>
              <w:rPr>
                <w:sz w:val="20"/>
                <w:szCs w:val="20"/>
                <w:lang w:val="en-US"/>
              </w:rPr>
            </w:pPr>
            <w:r w:rsidRPr="00B71DB4">
              <w:rPr>
                <w:sz w:val="20"/>
                <w:szCs w:val="20"/>
                <w:lang w:val="en-US"/>
              </w:rPr>
              <w:t>3000 pips</w:t>
            </w:r>
          </w:p>
        </w:tc>
      </w:tr>
      <w:tr w:rsidR="008B379E" w:rsidRPr="00B71DB4" w:rsidTr="0018348C">
        <w:trPr>
          <w:jc w:val="center"/>
        </w:trPr>
        <w:tc>
          <w:tcPr>
            <w:tcW w:w="1234" w:type="dxa"/>
            <w:tcBorders>
              <w:top w:val="single" w:sz="24" w:space="0" w:color="17365D" w:themeColor="text2" w:themeShade="BF"/>
              <w:left w:val="single" w:sz="24" w:space="0" w:color="17365D" w:themeColor="text2" w:themeShade="BF"/>
              <w:bottom w:val="single" w:sz="24" w:space="0" w:color="17365D" w:themeColor="text2" w:themeShade="BF"/>
              <w:right w:val="single" w:sz="24" w:space="0" w:color="17365D" w:themeColor="text2" w:themeShade="BF"/>
            </w:tcBorders>
          </w:tcPr>
          <w:p w:rsidR="008B379E" w:rsidRPr="00B71DB4" w:rsidRDefault="008B379E" w:rsidP="0018348C">
            <w:pPr>
              <w:jc w:val="center"/>
              <w:rPr>
                <w:sz w:val="20"/>
                <w:szCs w:val="20"/>
                <w:lang w:val="en-US"/>
              </w:rPr>
            </w:pPr>
            <w:proofErr w:type="spellStart"/>
            <w:r w:rsidRPr="00B71DB4">
              <w:rPr>
                <w:sz w:val="20"/>
                <w:szCs w:val="20"/>
                <w:lang w:val="en-US"/>
              </w:rPr>
              <w:t>Nasdaq</w:t>
            </w:r>
            <w:proofErr w:type="spellEnd"/>
          </w:p>
        </w:tc>
        <w:tc>
          <w:tcPr>
            <w:tcW w:w="1719" w:type="dxa"/>
            <w:tcBorders>
              <w:top w:val="single" w:sz="24" w:space="0" w:color="17365D" w:themeColor="text2" w:themeShade="BF"/>
              <w:left w:val="single" w:sz="24" w:space="0" w:color="17365D" w:themeColor="text2" w:themeShade="BF"/>
              <w:bottom w:val="single" w:sz="24" w:space="0" w:color="17365D" w:themeColor="text2" w:themeShade="BF"/>
              <w:right w:val="single" w:sz="24" w:space="0" w:color="17365D" w:themeColor="text2" w:themeShade="BF"/>
            </w:tcBorders>
            <w:shd w:val="clear" w:color="auto" w:fill="B6DDE8" w:themeFill="accent5" w:themeFillTint="66"/>
          </w:tcPr>
          <w:p w:rsidR="008B379E" w:rsidRPr="00B71DB4" w:rsidRDefault="008B379E" w:rsidP="0018348C">
            <w:pPr>
              <w:jc w:val="center"/>
              <w:rPr>
                <w:sz w:val="20"/>
                <w:szCs w:val="20"/>
                <w:lang w:val="en-US"/>
              </w:rPr>
            </w:pPr>
            <w:r w:rsidRPr="00B71DB4">
              <w:rPr>
                <w:sz w:val="20"/>
                <w:szCs w:val="20"/>
                <w:lang w:val="en-US"/>
              </w:rPr>
              <w:t>15078,</w:t>
            </w:r>
            <w:r w:rsidRPr="00B71DB4">
              <w:rPr>
                <w:sz w:val="20"/>
                <w:szCs w:val="20"/>
                <w:highlight w:val="yellow"/>
                <w:lang w:val="en-US"/>
              </w:rPr>
              <w:t>2</w:t>
            </w:r>
          </w:p>
        </w:tc>
        <w:tc>
          <w:tcPr>
            <w:tcW w:w="1719" w:type="dxa"/>
            <w:tcBorders>
              <w:top w:val="single" w:sz="24" w:space="0" w:color="17365D" w:themeColor="text2" w:themeShade="BF"/>
              <w:left w:val="single" w:sz="24" w:space="0" w:color="17365D" w:themeColor="text2" w:themeShade="BF"/>
              <w:bottom w:val="single" w:sz="24" w:space="0" w:color="17365D" w:themeColor="text2" w:themeShade="BF"/>
              <w:right w:val="single" w:sz="24" w:space="0" w:color="17365D" w:themeColor="text2" w:themeShade="BF"/>
            </w:tcBorders>
            <w:shd w:val="clear" w:color="auto" w:fill="B6DDE8" w:themeFill="accent5" w:themeFillTint="66"/>
          </w:tcPr>
          <w:p w:rsidR="008B379E" w:rsidRPr="00B71DB4" w:rsidRDefault="008B379E" w:rsidP="004324E5">
            <w:pPr>
              <w:jc w:val="center"/>
              <w:rPr>
                <w:b/>
                <w:sz w:val="20"/>
                <w:szCs w:val="20"/>
              </w:rPr>
            </w:pPr>
            <w:r w:rsidRPr="00B71DB4">
              <w:rPr>
                <w:b/>
                <w:sz w:val="20"/>
                <w:szCs w:val="20"/>
                <w:lang w:val="en-US"/>
              </w:rPr>
              <w:t>127 poin</w:t>
            </w:r>
            <w:r w:rsidR="00E868C8" w:rsidRPr="00B71DB4">
              <w:rPr>
                <w:b/>
                <w:sz w:val="20"/>
                <w:szCs w:val="20"/>
                <w:lang w:val="en-US"/>
              </w:rPr>
              <w:t>t</w:t>
            </w:r>
            <w:r w:rsidRPr="00B71DB4">
              <w:rPr>
                <w:b/>
                <w:sz w:val="20"/>
                <w:szCs w:val="20"/>
                <w:lang w:val="en-US"/>
              </w:rPr>
              <w:t>s</w:t>
            </w:r>
          </w:p>
        </w:tc>
        <w:tc>
          <w:tcPr>
            <w:tcW w:w="1674" w:type="dxa"/>
            <w:tcBorders>
              <w:left w:val="single" w:sz="24" w:space="0" w:color="17365D" w:themeColor="text2" w:themeShade="BF"/>
            </w:tcBorders>
          </w:tcPr>
          <w:p w:rsidR="008B379E" w:rsidRPr="00B71DB4" w:rsidRDefault="008B379E" w:rsidP="0018348C">
            <w:pPr>
              <w:jc w:val="center"/>
              <w:rPr>
                <w:sz w:val="20"/>
                <w:szCs w:val="20"/>
                <w:lang w:val="en-US"/>
              </w:rPr>
            </w:pPr>
            <w:r w:rsidRPr="00B71DB4">
              <w:rPr>
                <w:sz w:val="20"/>
                <w:szCs w:val="20"/>
                <w:lang w:val="en-US"/>
              </w:rPr>
              <w:t>15078,</w:t>
            </w:r>
            <w:r w:rsidRPr="00B71DB4">
              <w:rPr>
                <w:sz w:val="20"/>
                <w:szCs w:val="20"/>
                <w:highlight w:val="yellow"/>
                <w:lang w:val="en-US"/>
              </w:rPr>
              <w:t>20</w:t>
            </w:r>
          </w:p>
        </w:tc>
        <w:tc>
          <w:tcPr>
            <w:tcW w:w="1125" w:type="dxa"/>
          </w:tcPr>
          <w:p w:rsidR="008B379E" w:rsidRPr="00B71DB4" w:rsidRDefault="008B379E" w:rsidP="004324E5">
            <w:pPr>
              <w:jc w:val="center"/>
              <w:rPr>
                <w:sz w:val="20"/>
                <w:szCs w:val="20"/>
                <w:lang w:val="en-US"/>
              </w:rPr>
            </w:pPr>
            <w:r w:rsidRPr="00B71DB4">
              <w:rPr>
                <w:sz w:val="20"/>
                <w:szCs w:val="20"/>
                <w:lang w:val="en-US"/>
              </w:rPr>
              <w:t>12 pips</w:t>
            </w:r>
          </w:p>
        </w:tc>
      </w:tr>
      <w:tr w:rsidR="008B379E" w:rsidRPr="00B71DB4" w:rsidTr="0018348C">
        <w:trPr>
          <w:jc w:val="center"/>
        </w:trPr>
        <w:tc>
          <w:tcPr>
            <w:tcW w:w="1234" w:type="dxa"/>
            <w:tcBorders>
              <w:top w:val="single" w:sz="24" w:space="0" w:color="17365D" w:themeColor="text2" w:themeShade="BF"/>
              <w:left w:val="single" w:sz="24" w:space="0" w:color="17365D" w:themeColor="text2" w:themeShade="BF"/>
              <w:bottom w:val="single" w:sz="24" w:space="0" w:color="17365D" w:themeColor="text2" w:themeShade="BF"/>
              <w:right w:val="single" w:sz="24" w:space="0" w:color="17365D" w:themeColor="text2" w:themeShade="BF"/>
            </w:tcBorders>
          </w:tcPr>
          <w:p w:rsidR="008B379E" w:rsidRPr="00B71DB4" w:rsidRDefault="008B379E" w:rsidP="0018348C">
            <w:pPr>
              <w:jc w:val="center"/>
              <w:rPr>
                <w:sz w:val="20"/>
                <w:szCs w:val="20"/>
                <w:lang w:val="en-US"/>
              </w:rPr>
            </w:pPr>
            <w:r w:rsidRPr="00B71DB4">
              <w:rPr>
                <w:sz w:val="20"/>
                <w:szCs w:val="20"/>
                <w:lang w:val="en-US"/>
              </w:rPr>
              <w:t>EUR/USD</w:t>
            </w:r>
          </w:p>
        </w:tc>
        <w:tc>
          <w:tcPr>
            <w:tcW w:w="1719" w:type="dxa"/>
            <w:tcBorders>
              <w:top w:val="single" w:sz="24" w:space="0" w:color="17365D" w:themeColor="text2" w:themeShade="BF"/>
              <w:left w:val="single" w:sz="24" w:space="0" w:color="17365D" w:themeColor="text2" w:themeShade="BF"/>
              <w:bottom w:val="single" w:sz="24" w:space="0" w:color="17365D" w:themeColor="text2" w:themeShade="BF"/>
              <w:right w:val="single" w:sz="24" w:space="0" w:color="17365D" w:themeColor="text2" w:themeShade="BF"/>
            </w:tcBorders>
            <w:shd w:val="clear" w:color="auto" w:fill="B6DDE8" w:themeFill="accent5" w:themeFillTint="66"/>
          </w:tcPr>
          <w:p w:rsidR="008B379E" w:rsidRPr="00B71DB4" w:rsidRDefault="008B379E" w:rsidP="0018348C">
            <w:pPr>
              <w:jc w:val="center"/>
              <w:rPr>
                <w:sz w:val="20"/>
                <w:szCs w:val="20"/>
                <w:lang w:val="en-US"/>
              </w:rPr>
            </w:pPr>
            <w:r w:rsidRPr="00B71DB4">
              <w:rPr>
                <w:sz w:val="20"/>
                <w:szCs w:val="20"/>
                <w:lang w:val="en-US"/>
              </w:rPr>
              <w:t>1,</w:t>
            </w:r>
            <w:r w:rsidRPr="00B71DB4">
              <w:rPr>
                <w:sz w:val="20"/>
                <w:szCs w:val="20"/>
                <w:highlight w:val="yellow"/>
                <w:lang w:val="en-US"/>
              </w:rPr>
              <w:t>09638</w:t>
            </w:r>
          </w:p>
        </w:tc>
        <w:tc>
          <w:tcPr>
            <w:tcW w:w="1719" w:type="dxa"/>
            <w:tcBorders>
              <w:top w:val="single" w:sz="24" w:space="0" w:color="17365D" w:themeColor="text2" w:themeShade="BF"/>
              <w:left w:val="single" w:sz="24" w:space="0" w:color="17365D" w:themeColor="text2" w:themeShade="BF"/>
              <w:bottom w:val="single" w:sz="24" w:space="0" w:color="17365D" w:themeColor="text2" w:themeShade="BF"/>
              <w:right w:val="single" w:sz="24" w:space="0" w:color="17365D" w:themeColor="text2" w:themeShade="BF"/>
            </w:tcBorders>
            <w:shd w:val="clear" w:color="auto" w:fill="B6DDE8" w:themeFill="accent5" w:themeFillTint="66"/>
          </w:tcPr>
          <w:p w:rsidR="008B379E" w:rsidRPr="00B71DB4" w:rsidRDefault="008B379E" w:rsidP="004324E5">
            <w:pPr>
              <w:jc w:val="center"/>
              <w:rPr>
                <w:b/>
                <w:sz w:val="20"/>
                <w:szCs w:val="20"/>
                <w:lang w:val="en-US"/>
              </w:rPr>
            </w:pPr>
            <w:r w:rsidRPr="00B71DB4">
              <w:rPr>
                <w:b/>
                <w:sz w:val="20"/>
                <w:szCs w:val="20"/>
              </w:rPr>
              <w:t xml:space="preserve">29 </w:t>
            </w:r>
            <w:r w:rsidRPr="00B71DB4">
              <w:rPr>
                <w:b/>
                <w:sz w:val="20"/>
                <w:szCs w:val="20"/>
                <w:lang w:val="en-US"/>
              </w:rPr>
              <w:t>poin</w:t>
            </w:r>
            <w:r w:rsidR="00E868C8" w:rsidRPr="00B71DB4">
              <w:rPr>
                <w:b/>
                <w:sz w:val="20"/>
                <w:szCs w:val="20"/>
                <w:lang w:val="en-US"/>
              </w:rPr>
              <w:t>t</w:t>
            </w:r>
            <w:r w:rsidRPr="00B71DB4">
              <w:rPr>
                <w:b/>
                <w:sz w:val="20"/>
                <w:szCs w:val="20"/>
                <w:lang w:val="en-US"/>
              </w:rPr>
              <w:t>s</w:t>
            </w:r>
          </w:p>
        </w:tc>
        <w:tc>
          <w:tcPr>
            <w:tcW w:w="1674" w:type="dxa"/>
            <w:tcBorders>
              <w:left w:val="single" w:sz="24" w:space="0" w:color="17365D" w:themeColor="text2" w:themeShade="BF"/>
            </w:tcBorders>
          </w:tcPr>
          <w:p w:rsidR="008B379E" w:rsidRPr="00B71DB4" w:rsidRDefault="008B379E" w:rsidP="0018348C">
            <w:pPr>
              <w:jc w:val="center"/>
              <w:rPr>
                <w:sz w:val="20"/>
                <w:szCs w:val="20"/>
                <w:lang w:val="en-US"/>
              </w:rPr>
            </w:pPr>
            <w:r w:rsidRPr="00B71DB4">
              <w:rPr>
                <w:sz w:val="20"/>
                <w:szCs w:val="20"/>
                <w:lang w:val="en-US"/>
              </w:rPr>
              <w:t>1,</w:t>
            </w:r>
            <w:r w:rsidRPr="00B71DB4">
              <w:rPr>
                <w:sz w:val="20"/>
                <w:szCs w:val="20"/>
                <w:highlight w:val="yellow"/>
                <w:lang w:val="en-US"/>
              </w:rPr>
              <w:t>0963</w:t>
            </w:r>
          </w:p>
        </w:tc>
        <w:tc>
          <w:tcPr>
            <w:tcW w:w="1125" w:type="dxa"/>
          </w:tcPr>
          <w:p w:rsidR="008B379E" w:rsidRPr="00B71DB4" w:rsidRDefault="008B379E" w:rsidP="004324E5">
            <w:pPr>
              <w:jc w:val="center"/>
              <w:rPr>
                <w:sz w:val="20"/>
                <w:szCs w:val="20"/>
                <w:lang w:val="en-US"/>
              </w:rPr>
            </w:pPr>
            <w:r w:rsidRPr="00B71DB4">
              <w:rPr>
                <w:sz w:val="20"/>
                <w:szCs w:val="20"/>
                <w:lang w:val="en-US"/>
              </w:rPr>
              <w:t>2 pips</w:t>
            </w:r>
          </w:p>
        </w:tc>
      </w:tr>
      <w:tr w:rsidR="008B379E" w:rsidRPr="00B71DB4" w:rsidTr="0018348C">
        <w:trPr>
          <w:jc w:val="center"/>
        </w:trPr>
        <w:tc>
          <w:tcPr>
            <w:tcW w:w="1234" w:type="dxa"/>
            <w:tcBorders>
              <w:top w:val="single" w:sz="24" w:space="0" w:color="17365D" w:themeColor="text2" w:themeShade="BF"/>
              <w:left w:val="single" w:sz="24" w:space="0" w:color="17365D" w:themeColor="text2" w:themeShade="BF"/>
              <w:bottom w:val="single" w:sz="24" w:space="0" w:color="17365D" w:themeColor="text2" w:themeShade="BF"/>
              <w:right w:val="single" w:sz="24" w:space="0" w:color="17365D" w:themeColor="text2" w:themeShade="BF"/>
            </w:tcBorders>
          </w:tcPr>
          <w:p w:rsidR="008B379E" w:rsidRPr="00B71DB4" w:rsidRDefault="008B379E" w:rsidP="0018348C">
            <w:pPr>
              <w:jc w:val="center"/>
              <w:rPr>
                <w:sz w:val="20"/>
                <w:szCs w:val="20"/>
                <w:lang w:val="en-US"/>
              </w:rPr>
            </w:pPr>
            <w:r w:rsidRPr="00B71DB4">
              <w:rPr>
                <w:sz w:val="20"/>
                <w:szCs w:val="20"/>
                <w:lang w:val="en-US"/>
              </w:rPr>
              <w:t>GBP/USD</w:t>
            </w:r>
          </w:p>
        </w:tc>
        <w:tc>
          <w:tcPr>
            <w:tcW w:w="1719" w:type="dxa"/>
            <w:tcBorders>
              <w:top w:val="single" w:sz="24" w:space="0" w:color="17365D" w:themeColor="text2" w:themeShade="BF"/>
              <w:left w:val="single" w:sz="24" w:space="0" w:color="17365D" w:themeColor="text2" w:themeShade="BF"/>
              <w:bottom w:val="single" w:sz="24" w:space="0" w:color="17365D" w:themeColor="text2" w:themeShade="BF"/>
              <w:right w:val="single" w:sz="24" w:space="0" w:color="17365D" w:themeColor="text2" w:themeShade="BF"/>
            </w:tcBorders>
            <w:shd w:val="clear" w:color="auto" w:fill="B6DDE8" w:themeFill="accent5" w:themeFillTint="66"/>
          </w:tcPr>
          <w:p w:rsidR="008B379E" w:rsidRPr="00B71DB4" w:rsidRDefault="008B379E" w:rsidP="0018348C">
            <w:pPr>
              <w:jc w:val="center"/>
              <w:rPr>
                <w:sz w:val="20"/>
                <w:szCs w:val="20"/>
                <w:lang w:val="en-US"/>
              </w:rPr>
            </w:pPr>
            <w:r w:rsidRPr="00B71DB4">
              <w:rPr>
                <w:sz w:val="20"/>
                <w:szCs w:val="20"/>
                <w:lang w:val="en-US"/>
              </w:rPr>
              <w:t>1.</w:t>
            </w:r>
            <w:r w:rsidRPr="00B71DB4">
              <w:rPr>
                <w:sz w:val="20"/>
                <w:szCs w:val="20"/>
                <w:highlight w:val="yellow"/>
                <w:lang w:val="en-US"/>
              </w:rPr>
              <w:t>27575</w:t>
            </w:r>
          </w:p>
        </w:tc>
        <w:tc>
          <w:tcPr>
            <w:tcW w:w="1719" w:type="dxa"/>
            <w:tcBorders>
              <w:top w:val="single" w:sz="24" w:space="0" w:color="17365D" w:themeColor="text2" w:themeShade="BF"/>
              <w:left w:val="single" w:sz="24" w:space="0" w:color="17365D" w:themeColor="text2" w:themeShade="BF"/>
              <w:bottom w:val="single" w:sz="24" w:space="0" w:color="17365D" w:themeColor="text2" w:themeShade="BF"/>
              <w:right w:val="single" w:sz="24" w:space="0" w:color="17365D" w:themeColor="text2" w:themeShade="BF"/>
            </w:tcBorders>
            <w:shd w:val="clear" w:color="auto" w:fill="B6DDE8" w:themeFill="accent5" w:themeFillTint="66"/>
          </w:tcPr>
          <w:p w:rsidR="008B379E" w:rsidRPr="00B71DB4" w:rsidRDefault="008B379E" w:rsidP="004324E5">
            <w:pPr>
              <w:jc w:val="center"/>
              <w:rPr>
                <w:b/>
                <w:sz w:val="20"/>
                <w:szCs w:val="20"/>
                <w:lang w:val="en-US"/>
              </w:rPr>
            </w:pPr>
            <w:r w:rsidRPr="00B71DB4">
              <w:rPr>
                <w:b/>
                <w:sz w:val="20"/>
                <w:szCs w:val="20"/>
                <w:lang w:val="en-US"/>
              </w:rPr>
              <w:t>40 poin</w:t>
            </w:r>
            <w:r w:rsidR="00E868C8" w:rsidRPr="00B71DB4">
              <w:rPr>
                <w:b/>
                <w:sz w:val="20"/>
                <w:szCs w:val="20"/>
                <w:lang w:val="en-US"/>
              </w:rPr>
              <w:t>t</w:t>
            </w:r>
            <w:r w:rsidRPr="00B71DB4">
              <w:rPr>
                <w:b/>
                <w:sz w:val="20"/>
                <w:szCs w:val="20"/>
                <w:lang w:val="en-US"/>
              </w:rPr>
              <w:t>s</w:t>
            </w:r>
          </w:p>
        </w:tc>
        <w:tc>
          <w:tcPr>
            <w:tcW w:w="1674" w:type="dxa"/>
            <w:tcBorders>
              <w:left w:val="single" w:sz="24" w:space="0" w:color="17365D" w:themeColor="text2" w:themeShade="BF"/>
            </w:tcBorders>
          </w:tcPr>
          <w:p w:rsidR="008B379E" w:rsidRPr="00B71DB4" w:rsidRDefault="008B379E" w:rsidP="0018348C">
            <w:pPr>
              <w:jc w:val="center"/>
              <w:rPr>
                <w:sz w:val="20"/>
                <w:szCs w:val="20"/>
                <w:lang w:val="en-US"/>
              </w:rPr>
            </w:pPr>
            <w:r w:rsidRPr="00B71DB4">
              <w:rPr>
                <w:sz w:val="20"/>
                <w:szCs w:val="20"/>
                <w:lang w:val="en-US"/>
              </w:rPr>
              <w:t>1.</w:t>
            </w:r>
            <w:r w:rsidRPr="00B71DB4">
              <w:rPr>
                <w:sz w:val="20"/>
                <w:szCs w:val="20"/>
                <w:highlight w:val="yellow"/>
                <w:lang w:val="en-US"/>
              </w:rPr>
              <w:t>2757</w:t>
            </w:r>
          </w:p>
        </w:tc>
        <w:tc>
          <w:tcPr>
            <w:tcW w:w="1125" w:type="dxa"/>
          </w:tcPr>
          <w:p w:rsidR="008B379E" w:rsidRPr="00B71DB4" w:rsidRDefault="008B379E" w:rsidP="004324E5">
            <w:pPr>
              <w:jc w:val="center"/>
              <w:rPr>
                <w:sz w:val="20"/>
                <w:szCs w:val="20"/>
                <w:lang w:val="en-US"/>
              </w:rPr>
            </w:pPr>
            <w:r w:rsidRPr="00B71DB4">
              <w:rPr>
                <w:sz w:val="20"/>
                <w:szCs w:val="20"/>
                <w:lang w:val="en-US"/>
              </w:rPr>
              <w:t>4 pips</w:t>
            </w:r>
          </w:p>
        </w:tc>
      </w:tr>
    </w:tbl>
    <w:p w:rsidR="00521C23" w:rsidRPr="00B71DB4" w:rsidRDefault="00521C23" w:rsidP="00184BA5">
      <w:pPr>
        <w:jc w:val="center"/>
        <w:rPr>
          <w:b/>
          <w:sz w:val="24"/>
          <w:szCs w:val="24"/>
        </w:rPr>
      </w:pPr>
    </w:p>
    <w:sectPr w:rsidR="00521C23" w:rsidRPr="00B71DB4" w:rsidSect="003456C1">
      <w:pgSz w:w="16838" w:h="11906"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7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drawingGridHorizontalSpacing w:val="110"/>
  <w:displayHorizontalDrawingGridEvery w:val="2"/>
  <w:characterSpacingControl w:val="doNotCompress"/>
  <w:compat/>
  <w:rsids>
    <w:rsidRoot w:val="00C9337A"/>
    <w:rsid w:val="000C2E1A"/>
    <w:rsid w:val="000D6799"/>
    <w:rsid w:val="00105CF9"/>
    <w:rsid w:val="00184BA5"/>
    <w:rsid w:val="00283F26"/>
    <w:rsid w:val="003456C1"/>
    <w:rsid w:val="003E59D2"/>
    <w:rsid w:val="0046499D"/>
    <w:rsid w:val="00470B09"/>
    <w:rsid w:val="00482FAB"/>
    <w:rsid w:val="00521C23"/>
    <w:rsid w:val="00525E30"/>
    <w:rsid w:val="00534964"/>
    <w:rsid w:val="00584829"/>
    <w:rsid w:val="00606BCB"/>
    <w:rsid w:val="0061321E"/>
    <w:rsid w:val="006214C2"/>
    <w:rsid w:val="007226DD"/>
    <w:rsid w:val="007522CB"/>
    <w:rsid w:val="007F457A"/>
    <w:rsid w:val="00883775"/>
    <w:rsid w:val="008B379E"/>
    <w:rsid w:val="008F325E"/>
    <w:rsid w:val="009148C7"/>
    <w:rsid w:val="00921DAA"/>
    <w:rsid w:val="009231DF"/>
    <w:rsid w:val="00A2732D"/>
    <w:rsid w:val="00A63FD8"/>
    <w:rsid w:val="00B12475"/>
    <w:rsid w:val="00B21920"/>
    <w:rsid w:val="00B71DB4"/>
    <w:rsid w:val="00B86D86"/>
    <w:rsid w:val="00BA3EBC"/>
    <w:rsid w:val="00C45416"/>
    <w:rsid w:val="00C9337A"/>
    <w:rsid w:val="00CD0B1B"/>
    <w:rsid w:val="00CF2FF7"/>
    <w:rsid w:val="00D407F6"/>
    <w:rsid w:val="00E402FF"/>
    <w:rsid w:val="00E624FB"/>
    <w:rsid w:val="00E74FC7"/>
    <w:rsid w:val="00E868C8"/>
    <w:rsid w:val="00EB15A9"/>
    <w:rsid w:val="00ED0E7B"/>
    <w:rsid w:val="00EF6560"/>
    <w:rsid w:val="00F412E1"/>
    <w:rsid w:val="00F507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679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E59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259</TotalTime>
  <Pages>3</Pages>
  <Words>642</Words>
  <Characters>3663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Zaya</dc:creator>
  <cp:keywords/>
  <dc:description/>
  <cp:lastModifiedBy>Zaya</cp:lastModifiedBy>
  <cp:revision>42</cp:revision>
  <dcterms:created xsi:type="dcterms:W3CDTF">2023-06-21T01:36:00Z</dcterms:created>
  <dcterms:modified xsi:type="dcterms:W3CDTF">2023-10-11T23:22:00Z</dcterms:modified>
</cp:coreProperties>
</file>