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styles.xml" ContentType="application/vnd.openxmlformats-officedocument.wordprocessingml.styles+xml"/>
  <Override PartName="/word/numbering.xml" ContentType="application/vnd.openxmlformats-officedocument.wordprocessingml.numbering+xml"/>
  <Override PartName="/word/header1.xml" ContentType="application/vnd.openxmlformats-officedocument.wordprocessingml.header+xml"/>
  <Override PartName="/word/footer1.xml" ContentType="application/vnd.openxmlformats-officedocument.wordprocessingml.footer+xml"/>
  <Override PartName="/word/settings.xml" ContentType="application/vnd.openxmlformats-officedocument.wordprocessingml.settings+xml"/>
  <Override PartName="/word/document.xml" ContentType="application/vnd.openxmlformats-officedocument.wordprocessingml.document.main+xml"/>
</Types>
</file>

<file path=_rels/.rels><?xml version='1.0' encoding='UTF-8'?>
<Relationships xmlns="http://schemas.openxmlformats.org/package/2006/relationships"><Relationship Type="http://schemas.openxmlformats.org/officeDocument/2006/relationships/officeDocument" Target="word/document.xml" Id="Rd445e8a5ceb949c7" /></Relationships>
</file>

<file path=word/document.xml><?xml version="1.0" encoding="utf-8"?>
<w:document xmlns:a="http://schemas.openxmlformats.org/drawingml/2006/main" xmlns:pic="http://schemas.openxmlformats.org/drawingml/2006/picture" xmlns:r="http://schemas.openxmlformats.org/officeDocument/2006/relationships" xmlns:w="http://schemas.openxmlformats.org/wordprocessingml/2006/main" xmlns:wp="http://schemas.openxmlformats.org/drawingml/2006/wordprocessingDrawing">
  <w:body>
    <w:p>
      <w:r>
        <w:drawing>
          <wp:anchor distT="0" distB="0" distL="0" distR="0" simplePos="0" relativeHeight="251658240" behindDoc="1" locked="0" layoutInCell="1" allowOverlap="1">
            <wp:simplePos x="0" y="0"/>
            <wp:positionH relativeFrom="page">
              <wp:posOffset>0</wp:posOffset>
            </wp:positionH>
            <wp:positionV relativeFrom="page">
              <wp:posOffset>0</wp:posOffset>
            </wp:positionV>
            <wp:extent cx="7560000" cy="10692000"/>
            <wp:effectExtent l="0" t="0" r="0" b="0"/>
            <wp:wrapNone/>
            <wp:docPr id="1" name="CoverBg"/>
            <wp:cNvGraphicFramePr>
              <a:graphicFrameLocks noChangeAspect="1"/>
            </wp:cNvGraphicFramePr>
            <a:graphic>
              <a:graphicData uri="http://schemas.openxmlformats.org/drawingml/2006/picture">
                <pic:pic>
                  <pic:nvPicPr>
                    <pic:cNvPr id="0" name="CoverBg.png"/>
                    <pic:cNvPicPr/>
                  </pic:nvPicPr>
                  <pic:blipFill>
                    <a:blip r:embed="R1034fe6105b74636"/>
                    <a:stretch>
                      <a:fillRect/>
                    </a:stretch>
                  </pic:blipFill>
                  <pic:spPr>
                    <a:xfrm>
                      <a:off x="0" y="0"/>
                      <a:ext cx="7560000" cy="10692000"/>
                    </a:xfrm>
                    <a:prstGeom prst="rect"/>
                  </pic:spPr>
                </pic:pic>
              </a:graphicData>
            </a:graphic>
          </wp:anchor>
        </w:drawing>
      </w:r>
    </w:p>
    <w:p>
      <w:pPr>
        <w:spacing w:before="2400"/>
      </w:pPr>
      <w:r/>
    </w:p>
    <w:p>
      <w:pPr>
        <w:spacing w:after="120"/>
        <w:ind w:left="1100" w:right="900"/>
      </w:pPr>
      <w:r>
        <w:rPr>
          <w:b/>
          <w:color w:val="D4AF37"/>
          <w:spacing w:val="30"/>
          <w:sz w:val="80"/>
        </w:rPr>
        <w:t>APEX NAS100</w:t>
      </w:r>
    </w:p>
    <w:p>
      <w:pPr>
        <w:spacing w:after="500"/>
        <w:ind w:left="1100" w:right="900"/>
      </w:pPr>
      <w:r>
        <w:rPr>
          <w:color w:val="ECEFF1"/>
          <w:spacing w:val="20"/>
          <w:sz w:val="30"/>
        </w:rPr>
        <w:t>ADAPTIVE CONFLUENCE SCALPING SYSTEM</w:t>
      </w:r>
    </w:p>
    <w:p>
      <w:pPr>
        <w:spacing w:after="1300"/>
        <w:ind w:left="1100" w:right="900"/>
      </w:pPr>
      <w:r>
        <w:rPr>
          <w:i/>
          <w:color w:val="B0BEC5"/>
          <w:sz w:val="20"/>
        </w:rPr>
        <w:t>"Evidence in. Noise out. Risk first."</w:t>
      </w:r>
    </w:p>
    <w:p>
      <w:pPr>
        <w:spacing w:after="240"/>
        <w:ind w:left="1100" w:right="900"/>
      </w:pPr>
      <w:r>
        <w:rPr>
          <w:b/>
          <w:color w:val="FFFFFF"/>
          <w:spacing w:val="16"/>
          <w:sz w:val="26"/>
        </w:rPr>
        <w:t>FULL SYSTEM ARCHITECTURE &amp; TECHNICAL SPECIFICATION</w:t>
      </w:r>
    </w:p>
    <w:p>
      <w:pPr>
        <w:ind w:left="1100" w:right="900"/>
      </w:pPr>
      <w:r>
        <w:rPr>
          <w:color w:val="B0BEC5"/>
          <w:sz w:val="19"/>
        </w:rPr>
        <w:t>Pseudo-code only — development-ready  |  v2.0 Production Draft  |  Q3 2026</w:t>
      </w:r>
    </w:p>
    <w:p>
      <w:pPr>
        <w:sectPr>
          <w:type w:val="nextPage"/>
          <w:pgSz w:w="11906" w:h="16838"/>
          <w:pgMar w:top="0" w:right="0" w:bottom="0" w:left="0" w:header="0" w:footer="0"/>
          <w:titlePg/>
        </w:sectPr>
      </w:pPr>
    </w:p>
    <w:p>
      <w:pPr>
        <w:pStyle w:val="Heading1"/>
      </w:pPr>
      <w:r>
        <w:t>DOCUMENT CONTROL</w:t>
      </w:r>
      <w:bookmarkStart w:name="_T1" w:id="1"/>
      <w:bookmarkEnd w:id="1"/>
    </w:p>
    <w:tbl>
      <w:tblPr>
        <w:tblW w:w="5000" w:type="pct"/>
        <w:tblBorders>
          <w:top w:val="single" w:color="B8860B" w:sz="12"/>
          <w:bottom w:val="single" w:color="B8860B" w:sz="12"/>
          <w:insideH w:val="single" w:color="CFD8DC" w:sz="4"/>
          <w:insideV w:val="single" w:color="CFD8DC" w:sz="4"/>
        </w:tblBorders>
      </w:tblPr>
      <w:tblGrid>
        <w:gridCol w:w="2600"/>
        <w:gridCol w:w="6700"/>
      </w:tblGrid>
      <w:tr>
        <w:trPr>
          <w:tblHeader/>
        </w:trPr>
        <w:tc>
          <w:tcPr>
            <w:tcW w:w="2600" w:type="dxa"/>
            <w:shd w:val="clear" w:fill="ECEFF1"/>
            <w:tcMar>
              <w:top w:w="60" w:type="dxa"/>
              <w:left w:w="100" w:type="dxa"/>
              <w:bottom w:w="60" w:type="dxa"/>
              <w:right w:w="100" w:type="dxa"/>
            </w:tcMar>
          </w:tcPr>
          <w:p>
            <w:pPr>
              <w:spacing w:before="20" w:after="20" w:line="240" w:lineRule="auto"/>
              <w:jc w:val="left"/>
            </w:pPr>
            <w:r>
              <w:rPr>
                <w:b/>
                <w:color w:val="263238"/>
                <w:sz w:val="18"/>
              </w:rPr>
              <w:t>ATTRIBUTE</w:t>
            </w:r>
          </w:p>
        </w:tc>
        <w:tc>
          <w:tcPr>
            <w:tcW w:w="6700" w:type="dxa"/>
            <w:shd w:val="clear" w:fill="ECEFF1"/>
            <w:tcMar>
              <w:top w:w="60" w:type="dxa"/>
              <w:left w:w="100" w:type="dxa"/>
              <w:bottom w:w="60" w:type="dxa"/>
              <w:right w:w="100" w:type="dxa"/>
            </w:tcMar>
          </w:tcPr>
          <w:p>
            <w:pPr>
              <w:spacing w:before="20" w:after="20" w:line="240" w:lineRule="auto"/>
              <w:jc w:val="left"/>
            </w:pPr>
            <w:r>
              <w:rPr>
                <w:b/>
                <w:color w:val="263238"/>
                <w:sz w:val="18"/>
              </w:rPr>
              <w:t>VALUE</w:t>
            </w:r>
          </w:p>
        </w:tc>
      </w:tr>
      <w:tr>
        <w:tc>
          <w:tcPr>
            <w:tcW w:w="2600" w:type="dxa"/>
            <w:tcMar>
              <w:top w:w="60" w:type="dxa"/>
              <w:left w:w="100" w:type="dxa"/>
              <w:bottom w:w="60" w:type="dxa"/>
              <w:right w:w="100" w:type="dxa"/>
            </w:tcMar>
          </w:tcPr>
          <w:p>
            <w:pPr>
              <w:spacing w:before="20" w:after="20" w:line="240" w:lineRule="auto"/>
              <w:jc w:val="left"/>
            </w:pPr>
            <w:r>
              <w:rPr>
                <w:color w:val="37474F"/>
                <w:sz w:val="18"/>
              </w:rPr>
              <w:t>Document Type</w:t>
            </w:r>
          </w:p>
        </w:tc>
        <w:tc>
          <w:tcPr>
            <w:tcW w:w="6700" w:type="dxa"/>
            <w:tcMar>
              <w:top w:w="60" w:type="dxa"/>
              <w:left w:w="100" w:type="dxa"/>
              <w:bottom w:w="60" w:type="dxa"/>
              <w:right w:w="100" w:type="dxa"/>
            </w:tcMar>
          </w:tcPr>
          <w:p>
            <w:pPr>
              <w:spacing w:before="20" w:after="20" w:line="240" w:lineRule="auto"/>
              <w:jc w:val="left"/>
            </w:pPr>
            <w:r>
              <w:rPr>
                <w:color w:val="37474F"/>
                <w:sz w:val="18"/>
              </w:rPr>
              <w:t>Full System Architecture &amp; Technical Specification (no code — pseudo-code only)</w:t>
            </w:r>
          </w:p>
        </w:tc>
      </w:tr>
      <w:tr>
        <w:tc>
          <w:tcPr>
            <w:tcW w:w="2600" w:type="dxa"/>
            <w:tcMar>
              <w:top w:w="60" w:type="dxa"/>
              <w:left w:w="100" w:type="dxa"/>
              <w:bottom w:w="60" w:type="dxa"/>
              <w:right w:w="100" w:type="dxa"/>
            </w:tcMar>
          </w:tcPr>
          <w:p>
            <w:pPr>
              <w:spacing w:before="20" w:after="20" w:line="240" w:lineRule="auto"/>
              <w:jc w:val="left"/>
            </w:pPr>
            <w:r>
              <w:rPr>
                <w:color w:val="37474F"/>
                <w:sz w:val="18"/>
              </w:rPr>
              <w:t>System</w:t>
            </w:r>
          </w:p>
        </w:tc>
        <w:tc>
          <w:tcPr>
            <w:tcW w:w="6700" w:type="dxa"/>
            <w:tcMar>
              <w:top w:w="60" w:type="dxa"/>
              <w:left w:w="100" w:type="dxa"/>
              <w:bottom w:w="60" w:type="dxa"/>
              <w:right w:w="100" w:type="dxa"/>
            </w:tcMar>
          </w:tcPr>
          <w:p>
            <w:pPr>
              <w:spacing w:before="20" w:after="20" w:line="240" w:lineRule="auto"/>
              <w:jc w:val="left"/>
            </w:pPr>
            <w:r>
              <w:rPr>
                <w:color w:val="37474F"/>
                <w:sz w:val="18"/>
              </w:rPr>
              <w:t>Apex NAS100 Adaptive Confluence Scalper (MT5 Expert Advisor + Companion Indicator)</w:t>
            </w:r>
          </w:p>
        </w:tc>
      </w:tr>
      <w:tr>
        <w:tc>
          <w:tcPr>
            <w:tcW w:w="2600" w:type="dxa"/>
            <w:tcMar>
              <w:top w:w="60" w:type="dxa"/>
              <w:left w:w="100" w:type="dxa"/>
              <w:bottom w:w="60" w:type="dxa"/>
              <w:right w:w="100" w:type="dxa"/>
            </w:tcMar>
          </w:tcPr>
          <w:p>
            <w:pPr>
              <w:spacing w:before="20" w:after="20" w:line="240" w:lineRule="auto"/>
              <w:jc w:val="left"/>
            </w:pPr>
            <w:r>
              <w:rPr>
                <w:color w:val="37474F"/>
                <w:sz w:val="18"/>
              </w:rPr>
              <w:t>Version</w:t>
            </w:r>
          </w:p>
        </w:tc>
        <w:tc>
          <w:tcPr>
            <w:tcW w:w="6700" w:type="dxa"/>
            <w:tcMar>
              <w:top w:w="60" w:type="dxa"/>
              <w:left w:w="100" w:type="dxa"/>
              <w:bottom w:w="60" w:type="dxa"/>
              <w:right w:w="100" w:type="dxa"/>
            </w:tcMar>
          </w:tcPr>
          <w:p>
            <w:pPr>
              <w:spacing w:before="20" w:after="20" w:line="240" w:lineRule="auto"/>
              <w:jc w:val="left"/>
            </w:pPr>
            <w:r>
              <w:rPr>
                <w:color w:val="37474F"/>
                <w:sz w:val="18"/>
              </w:rPr>
              <w:t>v2.0 — Production Architecture Draft</w:t>
            </w:r>
          </w:p>
        </w:tc>
      </w:tr>
      <w:tr>
        <w:tc>
          <w:tcPr>
            <w:tcW w:w="2600" w:type="dxa"/>
            <w:tcMar>
              <w:top w:w="60" w:type="dxa"/>
              <w:left w:w="100" w:type="dxa"/>
              <w:bottom w:w="60" w:type="dxa"/>
              <w:right w:w="100" w:type="dxa"/>
            </w:tcMar>
          </w:tcPr>
          <w:p>
            <w:pPr>
              <w:spacing w:before="20" w:after="20" w:line="240" w:lineRule="auto"/>
              <w:jc w:val="left"/>
            </w:pPr>
            <w:r>
              <w:rPr>
                <w:color w:val="37474F"/>
                <w:sz w:val="18"/>
              </w:rPr>
              <w:t>Platform</w:t>
            </w:r>
          </w:p>
        </w:tc>
        <w:tc>
          <w:tcPr>
            <w:tcW w:w="6700" w:type="dxa"/>
            <w:tcMar>
              <w:top w:w="60" w:type="dxa"/>
              <w:left w:w="100" w:type="dxa"/>
              <w:bottom w:w="60" w:type="dxa"/>
              <w:right w:w="100" w:type="dxa"/>
            </w:tcMar>
          </w:tcPr>
          <w:p>
            <w:pPr>
              <w:spacing w:before="20" w:after="20" w:line="240" w:lineRule="auto"/>
              <w:jc w:val="left"/>
            </w:pPr>
            <w:r>
              <w:rPr>
                <w:color w:val="37474F"/>
                <w:sz w:val="18"/>
              </w:rPr>
              <w:t>MetaTrader 5 (MQL5 standard library only — zero external dependencies)</w:t>
            </w:r>
          </w:p>
        </w:tc>
      </w:tr>
      <w:tr>
        <w:tc>
          <w:tcPr>
            <w:tcW w:w="2600" w:type="dxa"/>
            <w:tcMar>
              <w:top w:w="60" w:type="dxa"/>
              <w:left w:w="100" w:type="dxa"/>
              <w:bottom w:w="60" w:type="dxa"/>
              <w:right w:w="100" w:type="dxa"/>
            </w:tcMar>
          </w:tcPr>
          <w:p>
            <w:pPr>
              <w:spacing w:before="20" w:after="20" w:line="240" w:lineRule="auto"/>
              <w:jc w:val="left"/>
            </w:pPr>
            <w:r>
              <w:rPr>
                <w:color w:val="37474F"/>
                <w:sz w:val="18"/>
              </w:rPr>
              <w:t>Instrument</w:t>
            </w:r>
          </w:p>
        </w:tc>
        <w:tc>
          <w:tcPr>
            <w:tcW w:w="6700" w:type="dxa"/>
            <w:tcMar>
              <w:top w:w="60" w:type="dxa"/>
              <w:left w:w="100" w:type="dxa"/>
              <w:bottom w:w="60" w:type="dxa"/>
              <w:right w:w="100" w:type="dxa"/>
            </w:tcMar>
          </w:tcPr>
          <w:p>
            <w:pPr>
              <w:spacing w:before="20" w:after="20" w:line="240" w:lineRule="auto"/>
              <w:jc w:val="left"/>
            </w:pPr>
            <w:r>
              <w:rPr>
                <w:color w:val="37474F"/>
                <w:sz w:val="18"/>
              </w:rPr>
              <w:t>NAS100 / US100 / USTEC / NASDAQ.cash CFD (symbol-alias resolved)</w:t>
            </w:r>
          </w:p>
        </w:tc>
      </w:tr>
      <w:tr>
        <w:tc>
          <w:tcPr>
            <w:tcW w:w="2600" w:type="dxa"/>
            <w:tcMar>
              <w:top w:w="60" w:type="dxa"/>
              <w:left w:w="100" w:type="dxa"/>
              <w:bottom w:w="60" w:type="dxa"/>
              <w:right w:w="100" w:type="dxa"/>
            </w:tcMar>
          </w:tcPr>
          <w:p>
            <w:pPr>
              <w:spacing w:before="20" w:after="20" w:line="240" w:lineRule="auto"/>
              <w:jc w:val="left"/>
            </w:pPr>
            <w:r>
              <w:rPr>
                <w:color w:val="37474F"/>
                <w:sz w:val="18"/>
              </w:rPr>
              <w:t>Primary Timeframe</w:t>
            </w:r>
          </w:p>
        </w:tc>
        <w:tc>
          <w:tcPr>
            <w:tcW w:w="6700" w:type="dxa"/>
            <w:tcMar>
              <w:top w:w="60" w:type="dxa"/>
              <w:left w:w="100" w:type="dxa"/>
              <w:bottom w:w="60" w:type="dxa"/>
              <w:right w:w="100" w:type="dxa"/>
            </w:tcMar>
          </w:tcPr>
          <w:p>
            <w:pPr>
              <w:spacing w:before="20" w:after="20" w:line="240" w:lineRule="auto"/>
              <w:jc w:val="left"/>
            </w:pPr>
            <w:r>
              <w:rPr>
                <w:color w:val="37474F"/>
                <w:sz w:val="18"/>
              </w:rPr>
              <w:t>M5 analysis core (multi-horizon anchors up to quarterly)</w:t>
            </w:r>
          </w:p>
        </w:tc>
      </w:tr>
      <w:tr>
        <w:tc>
          <w:tcPr>
            <w:tcW w:w="2600" w:type="dxa"/>
            <w:tcMar>
              <w:top w:w="60" w:type="dxa"/>
              <w:left w:w="100" w:type="dxa"/>
              <w:bottom w:w="60" w:type="dxa"/>
              <w:right w:w="100" w:type="dxa"/>
            </w:tcMar>
          </w:tcPr>
          <w:p>
            <w:pPr>
              <w:spacing w:before="20" w:after="20" w:line="240" w:lineRule="auto"/>
              <w:jc w:val="left"/>
            </w:pPr>
            <w:r>
              <w:rPr>
                <w:color w:val="37474F"/>
                <w:sz w:val="18"/>
              </w:rPr>
              <w:t>Design Targets</w:t>
            </w:r>
          </w:p>
        </w:tc>
        <w:tc>
          <w:tcPr>
            <w:tcW w:w="6700" w:type="dxa"/>
            <w:tcMar>
              <w:top w:w="60" w:type="dxa"/>
              <w:left w:w="100" w:type="dxa"/>
              <w:bottom w:w="60" w:type="dxa"/>
              <w:right w:w="100" w:type="dxa"/>
            </w:tcMar>
          </w:tcPr>
          <w:p>
            <w:pPr>
              <w:spacing w:before="20" w:after="20" w:line="240" w:lineRule="auto"/>
              <w:jc w:val="left"/>
            </w:pPr>
            <w:r>
              <w:rPr>
                <w:color w:val="37474F"/>
                <w:sz w:val="18"/>
              </w:rPr>
              <w:t>High monthly return engineering goal; overall drawdown ceiling &lt; 10%; prop-firm rule compliant</w:t>
            </w:r>
          </w:p>
        </w:tc>
      </w:tr>
      <w:tr>
        <w:tc>
          <w:tcPr>
            <w:tcW w:w="2600" w:type="dxa"/>
            <w:tcMar>
              <w:top w:w="60" w:type="dxa"/>
              <w:left w:w="100" w:type="dxa"/>
              <w:bottom w:w="60" w:type="dxa"/>
              <w:right w:w="100" w:type="dxa"/>
            </w:tcMar>
          </w:tcPr>
          <w:p>
            <w:pPr>
              <w:spacing w:before="20" w:after="20" w:line="240" w:lineRule="auto"/>
              <w:jc w:val="left"/>
            </w:pPr>
            <w:r>
              <w:rPr>
                <w:color w:val="37474F"/>
                <w:sz w:val="18"/>
              </w:rPr>
              <w:t>Status</w:t>
            </w:r>
          </w:p>
        </w:tc>
        <w:tc>
          <w:tcPr>
            <w:tcW w:w="6700" w:type="dxa"/>
            <w:tcMar>
              <w:top w:w="60" w:type="dxa"/>
              <w:left w:w="100" w:type="dxa"/>
              <w:bottom w:w="60" w:type="dxa"/>
              <w:right w:w="100" w:type="dxa"/>
            </w:tcMar>
          </w:tcPr>
          <w:p>
            <w:pPr>
              <w:spacing w:before="20" w:after="20" w:line="240" w:lineRule="auto"/>
              <w:jc w:val="left"/>
            </w:pPr>
            <w:r>
              <w:rPr>
                <w:color w:val="37474F"/>
                <w:sz w:val="18"/>
              </w:rPr>
              <w:t>Development-ready. Interfaces frozen. Awaiting implementation.</w:t>
            </w:r>
          </w:p>
        </w:tc>
      </w:tr>
      <w:tr>
        <w:tc>
          <w:tcPr>
            <w:tcW w:w="2600" w:type="dxa"/>
            <w:tcMar>
              <w:top w:w="60" w:type="dxa"/>
              <w:left w:w="100" w:type="dxa"/>
              <w:bottom w:w="60" w:type="dxa"/>
              <w:right w:w="100" w:type="dxa"/>
            </w:tcMar>
          </w:tcPr>
          <w:p>
            <w:pPr>
              <w:spacing w:before="20" w:after="20" w:line="240" w:lineRule="auto"/>
              <w:jc w:val="left"/>
            </w:pPr>
            <w:r>
              <w:rPr>
                <w:color w:val="37474F"/>
                <w:sz w:val="18"/>
              </w:rPr>
              <w:t>Date</w:t>
            </w:r>
          </w:p>
        </w:tc>
        <w:tc>
          <w:tcPr>
            <w:tcW w:w="6700" w:type="dxa"/>
            <w:tcMar>
              <w:top w:w="60" w:type="dxa"/>
              <w:left w:w="100" w:type="dxa"/>
              <w:bottom w:w="60" w:type="dxa"/>
              <w:right w:w="100" w:type="dxa"/>
            </w:tcMar>
          </w:tcPr>
          <w:p>
            <w:pPr>
              <w:spacing w:before="20" w:after="20" w:line="240" w:lineRule="auto"/>
              <w:jc w:val="left"/>
            </w:pPr>
            <w:r>
              <w:rPr>
                <w:color w:val="37474F"/>
                <w:sz w:val="18"/>
              </w:rPr>
              <w:t>2026-08-01</w:t>
            </w:r>
          </w:p>
        </w:tc>
      </w:tr>
    </w:tbl>
    <w:p>
      <w:pPr>
        <w:spacing w:after="160"/>
      </w:pPr>
    </w:p>
    <w:p>
      <w:pPr>
        <w:pStyle w:val="Heading2"/>
      </w:pPr>
      <w:r>
        <w:t>WHAT IS NEW IN v2.0</w:t>
      </w:r>
    </w:p>
    <w:p>
      <w:r>
        <w:t>v1.0 established the full modular system and passed four independent audit gates. v2.0 upgrades the intelligence layer where evidence demanded it, formalises the research process that validated it, and freezes the architecture for development. Nothing in v2.0 diminishes v1.0's verified backtest results — every change either passed a Monte-Carlo evidence gate or is a structural robustness improvement with no parameter fitting.</w:t>
      </w:r>
    </w:p>
    <w:tbl>
      <w:tblPr>
        <w:tblW w:w="5000" w:type="pct"/>
        <w:tblBorders>
          <w:top w:val="single" w:color="B8860B" w:sz="12"/>
          <w:bottom w:val="single" w:color="B8860B" w:sz="12"/>
          <w:insideH w:val="single" w:color="CFD8DC" w:sz="4"/>
          <w:insideV w:val="single" w:color="CFD8DC" w:sz="4"/>
        </w:tblBorders>
      </w:tblPr>
      <w:tblGrid>
        <w:gridCol w:w="2000"/>
        <w:gridCol w:w="4300"/>
        <w:gridCol w:w="3000"/>
      </w:tblGrid>
      <w:tr>
        <w:trPr>
          <w:tblHeader/>
        </w:trPr>
        <w:tc>
          <w:tcPr>
            <w:tcW w:w="2000" w:type="dxa"/>
            <w:shd w:val="clear" w:fill="ECEFF1"/>
            <w:tcMar>
              <w:top w:w="60" w:type="dxa"/>
              <w:left w:w="100" w:type="dxa"/>
              <w:bottom w:w="60" w:type="dxa"/>
              <w:right w:w="100" w:type="dxa"/>
            </w:tcMar>
          </w:tcPr>
          <w:p>
            <w:pPr>
              <w:spacing w:before="20" w:after="20" w:line="240" w:lineRule="auto"/>
              <w:jc w:val="left"/>
            </w:pPr>
            <w:r>
              <w:rPr>
                <w:b/>
                <w:color w:val="263238"/>
                <w:sz w:val="18"/>
              </w:rPr>
              <w:t>Section</w:t>
            </w:r>
          </w:p>
        </w:tc>
        <w:tc>
          <w:tcPr>
            <w:tcW w:w="4300" w:type="dxa"/>
            <w:shd w:val="clear" w:fill="ECEFF1"/>
            <w:tcMar>
              <w:top w:w="60" w:type="dxa"/>
              <w:left w:w="100" w:type="dxa"/>
              <w:bottom w:w="60" w:type="dxa"/>
              <w:right w:w="100" w:type="dxa"/>
            </w:tcMar>
          </w:tcPr>
          <w:p>
            <w:pPr>
              <w:spacing w:before="20" w:after="20" w:line="240" w:lineRule="auto"/>
              <w:jc w:val="left"/>
            </w:pPr>
            <w:r>
              <w:rPr>
                <w:b/>
                <w:color w:val="263238"/>
                <w:sz w:val="18"/>
              </w:rPr>
              <w:t>What Changed</w:t>
            </w:r>
          </w:p>
        </w:tc>
        <w:tc>
          <w:tcPr>
            <w:tcW w:w="3000" w:type="dxa"/>
            <w:shd w:val="clear" w:fill="ECEFF1"/>
            <w:tcMar>
              <w:top w:w="60" w:type="dxa"/>
              <w:left w:w="100" w:type="dxa"/>
              <w:bottom w:w="60" w:type="dxa"/>
              <w:right w:w="100" w:type="dxa"/>
            </w:tcMar>
          </w:tcPr>
          <w:p>
            <w:pPr>
              <w:spacing w:before="20" w:after="20" w:line="240" w:lineRule="auto"/>
              <w:jc w:val="left"/>
            </w:pPr>
            <w:r>
              <w:rPr>
                <w:b/>
                <w:color w:val="263238"/>
                <w:sz w:val="18"/>
              </w:rPr>
              <w:t>Evidence / Importance</w:t>
            </w:r>
          </w:p>
        </w:tc>
      </w:tr>
      <w:tr>
        <w:tc>
          <w:tcPr>
            <w:tcW w:w="2000" w:type="dxa"/>
            <w:tcMar>
              <w:top w:w="60" w:type="dxa"/>
              <w:left w:w="100" w:type="dxa"/>
              <w:bottom w:w="60" w:type="dxa"/>
              <w:right w:w="100" w:type="dxa"/>
            </w:tcMar>
          </w:tcPr>
          <w:p>
            <w:pPr>
              <w:spacing w:before="20" w:after="20" w:line="240" w:lineRule="auto"/>
              <w:jc w:val="left"/>
            </w:pPr>
            <w:r>
              <w:rPr>
                <w:color w:val="37474F"/>
                <w:sz w:val="18"/>
              </w:rPr>
              <w:t>Section 10 (upgraded)</w:t>
            </w:r>
          </w:p>
        </w:tc>
        <w:tc>
          <w:tcPr>
            <w:tcW w:w="4300" w:type="dxa"/>
            <w:tcMar>
              <w:top w:w="60" w:type="dxa"/>
              <w:left w:w="100" w:type="dxa"/>
              <w:bottom w:w="60" w:type="dxa"/>
              <w:right w:w="100" w:type="dxa"/>
            </w:tcMar>
          </w:tcPr>
          <w:p>
            <w:pPr>
              <w:spacing w:before="20" w:after="20" w:line="240" w:lineRule="auto"/>
              <w:jc w:val="left"/>
            </w:pPr>
            <w:r>
              <w:rPr>
                <w:color w:val="37474F"/>
                <w:sz w:val="18"/>
              </w:rPr>
              <w:t>Order book replaced with 3-tier Level-2 engine: native DOM / synthetic tick ladder + OFI / tape</w:t>
            </w:r>
          </w:p>
        </w:tc>
        <w:tc>
          <w:tcPr>
            <w:tcW w:w="3000" w:type="dxa"/>
            <w:tcMar>
              <w:top w:w="60" w:type="dxa"/>
              <w:left w:w="100" w:type="dxa"/>
              <w:bottom w:w="60" w:type="dxa"/>
              <w:right w:w="100" w:type="dxa"/>
            </w:tcMar>
          </w:tcPr>
          <w:p>
            <w:pPr>
              <w:spacing w:before="20" w:after="20" w:line="240" w:lineRule="auto"/>
              <w:jc w:val="left"/>
            </w:pPr>
            <w:r>
              <w:rPr>
                <w:color w:val="37474F"/>
                <w:sz w:val="18"/>
              </w:rPr>
              <w:t>Group-8 scoring no longer goes blind on brokers without depth-of-market</w:t>
            </w:r>
          </w:p>
        </w:tc>
      </w:tr>
      <w:tr>
        <w:tc>
          <w:tcPr>
            <w:tcW w:w="2000" w:type="dxa"/>
            <w:tcMar>
              <w:top w:w="60" w:type="dxa"/>
              <w:left w:w="100" w:type="dxa"/>
              <w:bottom w:w="60" w:type="dxa"/>
              <w:right w:w="100" w:type="dxa"/>
            </w:tcMar>
          </w:tcPr>
          <w:p>
            <w:pPr>
              <w:spacing w:before="20" w:after="20" w:line="240" w:lineRule="auto"/>
              <w:jc w:val="left"/>
            </w:pPr>
            <w:r>
              <w:rPr>
                <w:color w:val="37474F"/>
                <w:sz w:val="18"/>
              </w:rPr>
              <w:t>Section 14 (upgraded)</w:t>
            </w:r>
          </w:p>
        </w:tc>
        <w:tc>
          <w:tcPr>
            <w:tcW w:w="4300" w:type="dxa"/>
            <w:tcMar>
              <w:top w:w="60" w:type="dxa"/>
              <w:left w:w="100" w:type="dxa"/>
              <w:bottom w:w="60" w:type="dxa"/>
              <w:right w:w="100" w:type="dxa"/>
            </w:tcMar>
          </w:tcPr>
          <w:p>
            <w:pPr>
              <w:spacing w:before="20" w:after="20" w:line="240" w:lineRule="auto"/>
              <w:jc w:val="left"/>
            </w:pPr>
            <w:r>
              <w:rPr>
                <w:color w:val="37474F"/>
                <w:sz w:val="18"/>
              </w:rPr>
              <w:t>Time-stop exit added (stale scalps close after N bars, default 12)</w:t>
            </w:r>
          </w:p>
        </w:tc>
        <w:tc>
          <w:tcPr>
            <w:tcW w:w="3000" w:type="dxa"/>
            <w:tcMar>
              <w:top w:w="60" w:type="dxa"/>
              <w:left w:w="100" w:type="dxa"/>
              <w:bottom w:w="60" w:type="dxa"/>
              <w:right w:w="100" w:type="dxa"/>
            </w:tcMar>
          </w:tcPr>
          <w:p>
            <w:pPr>
              <w:spacing w:before="20" w:after="20" w:line="240" w:lineRule="auto"/>
              <w:jc w:val="left"/>
            </w:pPr>
            <w:r>
              <w:rPr>
                <w:color w:val="37474F"/>
                <w:sz w:val="18"/>
              </w:rPr>
              <w:t>Monte-Carlo 6-seed gate: mean DD 2.85% to 2.13%, mean return +1.83% to +2.12%</w:t>
            </w:r>
          </w:p>
        </w:tc>
      </w:tr>
      <w:tr>
        <w:tc>
          <w:tcPr>
            <w:tcW w:w="2000" w:type="dxa"/>
            <w:tcMar>
              <w:top w:w="60" w:type="dxa"/>
              <w:left w:w="100" w:type="dxa"/>
              <w:bottom w:w="60" w:type="dxa"/>
              <w:right w:w="100" w:type="dxa"/>
            </w:tcMar>
          </w:tcPr>
          <w:p>
            <w:pPr>
              <w:spacing w:before="20" w:after="20" w:line="240" w:lineRule="auto"/>
              <w:jc w:val="left"/>
            </w:pPr>
            <w:r>
              <w:rPr>
                <w:color w:val="37474F"/>
                <w:sz w:val="18"/>
              </w:rPr>
              <w:t>Section 18 (new)</w:t>
            </w:r>
          </w:p>
        </w:tc>
        <w:tc>
          <w:tcPr>
            <w:tcW w:w="4300" w:type="dxa"/>
            <w:tcMar>
              <w:top w:w="60" w:type="dxa"/>
              <w:left w:w="100" w:type="dxa"/>
              <w:bottom w:w="60" w:type="dxa"/>
              <w:right w:w="100" w:type="dxa"/>
            </w:tcMar>
          </w:tcPr>
          <w:p>
            <w:pPr>
              <w:spacing w:before="20" w:after="20" w:line="240" w:lineRule="auto"/>
              <w:jc w:val="left"/>
            </w:pPr>
            <w:r>
              <w:rPr>
                <w:color w:val="37474F"/>
                <w:sz w:val="18"/>
              </w:rPr>
              <w:t>Validation &amp; research results: audit gates, backtest evidence, accepted/rejected upgrades</w:t>
            </w:r>
          </w:p>
        </w:tc>
        <w:tc>
          <w:tcPr>
            <w:tcW w:w="3000" w:type="dxa"/>
            <w:tcMar>
              <w:top w:w="60" w:type="dxa"/>
              <w:left w:w="100" w:type="dxa"/>
              <w:bottom w:w="60" w:type="dxa"/>
              <w:right w:w="100" w:type="dxa"/>
            </w:tcMar>
          </w:tcPr>
          <w:p>
            <w:pPr>
              <w:spacing w:before="20" w:after="20" w:line="240" w:lineRule="auto"/>
              <w:jc w:val="left"/>
            </w:pPr>
            <w:r>
              <w:rPr>
                <w:color w:val="37474F"/>
                <w:sz w:val="18"/>
              </w:rPr>
              <w:t>Institutional review trail; anti-overfitting discipline documented</w:t>
            </w:r>
          </w:p>
        </w:tc>
      </w:tr>
      <w:tr>
        <w:tc>
          <w:tcPr>
            <w:tcW w:w="2000" w:type="dxa"/>
            <w:tcMar>
              <w:top w:w="60" w:type="dxa"/>
              <w:left w:w="100" w:type="dxa"/>
              <w:bottom w:w="60" w:type="dxa"/>
              <w:right w:w="100" w:type="dxa"/>
            </w:tcMar>
          </w:tcPr>
          <w:p>
            <w:pPr>
              <w:spacing w:before="20" w:after="20" w:line="240" w:lineRule="auto"/>
              <w:jc w:val="left"/>
            </w:pPr>
            <w:r>
              <w:rPr>
                <w:color w:val="37474F"/>
                <w:sz w:val="18"/>
              </w:rPr>
              <w:t>Section 19 (new)</w:t>
            </w:r>
          </w:p>
        </w:tc>
        <w:tc>
          <w:tcPr>
            <w:tcW w:w="4300" w:type="dxa"/>
            <w:tcMar>
              <w:top w:w="60" w:type="dxa"/>
              <w:left w:w="100" w:type="dxa"/>
              <w:bottom w:w="60" w:type="dxa"/>
              <w:right w:w="100" w:type="dxa"/>
            </w:tcMar>
          </w:tcPr>
          <w:p>
            <w:pPr>
              <w:spacing w:before="20" w:after="20" w:line="240" w:lineRule="auto"/>
              <w:jc w:val="left"/>
            </w:pPr>
            <w:r>
              <w:rPr>
                <w:color w:val="37474F"/>
                <w:sz w:val="18"/>
              </w:rPr>
              <w:t>Evidence-gated improvement roadmap with acceptance criteria</w:t>
            </w:r>
          </w:p>
        </w:tc>
        <w:tc>
          <w:tcPr>
            <w:tcW w:w="3000" w:type="dxa"/>
            <w:tcMar>
              <w:top w:w="60" w:type="dxa"/>
              <w:left w:w="100" w:type="dxa"/>
              <w:bottom w:w="60" w:type="dxa"/>
              <w:right w:w="100" w:type="dxa"/>
            </w:tcMar>
          </w:tcPr>
          <w:p>
            <w:pPr>
              <w:spacing w:before="20" w:after="20" w:line="240" w:lineRule="auto"/>
              <w:jc w:val="left"/>
            </w:pPr>
            <w:r>
              <w:rPr>
                <w:color w:val="37474F"/>
                <w:sz w:val="18"/>
              </w:rPr>
              <w:t>Future upgrades must beat baseline across seeds or be rejected</w:t>
            </w:r>
          </w:p>
        </w:tc>
      </w:tr>
      <w:tr>
        <w:tc>
          <w:tcPr>
            <w:tcW w:w="2000" w:type="dxa"/>
            <w:tcMar>
              <w:top w:w="60" w:type="dxa"/>
              <w:left w:w="100" w:type="dxa"/>
              <w:bottom w:w="60" w:type="dxa"/>
              <w:right w:w="100" w:type="dxa"/>
            </w:tcMar>
          </w:tcPr>
          <w:p>
            <w:pPr>
              <w:spacing w:before="20" w:after="20" w:line="240" w:lineRule="auto"/>
              <w:jc w:val="left"/>
            </w:pPr>
            <w:r>
              <w:rPr>
                <w:color w:val="37474F"/>
                <w:sz w:val="18"/>
              </w:rPr>
              <w:t>Section 20 (new)</w:t>
            </w:r>
          </w:p>
        </w:tc>
        <w:tc>
          <w:tcPr>
            <w:tcW w:w="4300" w:type="dxa"/>
            <w:tcMar>
              <w:top w:w="60" w:type="dxa"/>
              <w:left w:w="100" w:type="dxa"/>
              <w:bottom w:w="60" w:type="dxa"/>
              <w:right w:w="100" w:type="dxa"/>
            </w:tcMar>
          </w:tcPr>
          <w:p>
            <w:pPr>
              <w:spacing w:before="20" w:after="20" w:line="240" w:lineRule="auto"/>
              <w:jc w:val="left"/>
            </w:pPr>
            <w:r>
              <w:rPr>
                <w:color w:val="37474F"/>
                <w:sz w:val="18"/>
              </w:rPr>
              <w:t>Development &amp; go-live protocol: compile, backtest, demo, prop gates</w:t>
            </w:r>
          </w:p>
        </w:tc>
        <w:tc>
          <w:tcPr>
            <w:tcW w:w="3000" w:type="dxa"/>
            <w:tcMar>
              <w:top w:w="60" w:type="dxa"/>
              <w:left w:w="100" w:type="dxa"/>
              <w:bottom w:w="60" w:type="dxa"/>
              <w:right w:w="100" w:type="dxa"/>
            </w:tcMar>
          </w:tcPr>
          <w:p>
            <w:pPr>
              <w:spacing w:before="20" w:after="20" w:line="240" w:lineRule="auto"/>
              <w:jc w:val="left"/>
            </w:pPr>
            <w:r>
              <w:rPr>
                <w:color w:val="37474F"/>
                <w:sz w:val="18"/>
              </w:rPr>
              <w:t>Clear path from document to funded trading</w:t>
            </w:r>
          </w:p>
        </w:tc>
      </w:tr>
    </w:tbl>
    <w:p>
      <w:pPr>
        <w:sectPr>
          <w:type w:val="nextPage"/>
          <w:pgSz w:w="11906" w:h="16838"/>
          <w:pgMar w:top="1800" w:right="1440" w:bottom="1440" w:left="1440" w:header="720" w:footer="720"/>
        </w:sectPr>
      </w:pPr>
    </w:p>
    <w:p>
      <w:pPr>
        <w:pStyle w:val="Heading1"/>
      </w:pPr>
      <w:r>
        <w:t>TABLE OF CONTENTS</w:t>
      </w:r>
      <w:bookmarkStart w:name="_T2" w:id="2"/>
      <w:bookmarkEnd w:id="2"/>
    </w:p>
    <w:p>
      <w:pPr>
        <w:spacing w:after="260"/>
      </w:pPr>
      <w:r>
        <w:rPr>
          <w:color w:val="78909C"/>
          <w:sz w:val="18"/>
        </w:rPr>
        <w:t>Right-click the TOC and choose "Update Field" to refresh page numbers</w:t>
      </w:r>
    </w:p>
    <w:p>
      <w:r>
        <w:fldChar w:fldCharType="begin"/>
      </w:r>
      <w:r>
        <w:instrText xml:space="preserve"> TOC \o "1-2" \h \z \u </w:instrText>
      </w:r>
      <w:r>
        <w:fldChar w:fldCharType="separate"/>
      </w:r>
    </w:p>
    <w:p>
      <w:pPr>
        <w:pStyle w:val="TOC1"/>
      </w:pPr>
      <w:r>
        <w:t>01. Executive Summary</w:t>
      </w:r>
      <w:r>
        <w:tab/>
      </w:r>
      <w:r>
        <w:t> </w:t>
      </w:r>
    </w:p>
    <w:p>
      <w:pPr>
        <w:pStyle w:val="TOC2"/>
      </w:pPr>
      <w:r>
        <w:t>1.1 The System in One Page</w:t>
      </w:r>
      <w:r>
        <w:tab/>
      </w:r>
      <w:r>
        <w:t> </w:t>
      </w:r>
    </w:p>
    <w:p>
      <w:pPr>
        <w:pStyle w:val="TOC2"/>
      </w:pPr>
      <w:r>
        <w:t>1.2 Design Targets &amp; Honest Constraints</w:t>
      </w:r>
      <w:r>
        <w:tab/>
      </w:r>
      <w:r>
        <w:t> </w:t>
      </w:r>
    </w:p>
    <w:p>
      <w:pPr>
        <w:pStyle w:val="TOC2"/>
      </w:pPr>
      <w:r>
        <w:t>1.3 What v2.0 Changes</w:t>
      </w:r>
      <w:r>
        <w:tab/>
      </w:r>
      <w:r>
        <w:t> </w:t>
      </w:r>
    </w:p>
    <w:p>
      <w:pPr>
        <w:pStyle w:val="TOC1"/>
      </w:pPr>
      <w:r>
        <w:t>02. System Topology &amp; Data Flow</w:t>
      </w:r>
      <w:r>
        <w:tab/>
      </w:r>
      <w:r>
        <w:t> </w:t>
      </w:r>
    </w:p>
    <w:p>
      <w:pPr>
        <w:pStyle w:val="TOC2"/>
      </w:pPr>
      <w:r>
        <w:t>2.1 Layer Model</w:t>
      </w:r>
      <w:r>
        <w:tab/>
      </w:r>
      <w:r>
        <w:t> </w:t>
      </w:r>
    </w:p>
    <w:p>
      <w:pPr>
        <w:pStyle w:val="TOC2"/>
      </w:pPr>
      <w:r>
        <w:t>2.2 Operating Modes</w:t>
      </w:r>
      <w:r>
        <w:tab/>
      </w:r>
      <w:r>
        <w:t> </w:t>
      </w:r>
    </w:p>
    <w:p>
      <w:pPr>
        <w:pStyle w:val="TOC2"/>
      </w:pPr>
      <w:r>
        <w:t>2.3 Per-Tick / Per-Bar Pipeline</w:t>
      </w:r>
      <w:r>
        <w:tab/>
      </w:r>
      <w:r>
        <w:t> </w:t>
      </w:r>
    </w:p>
    <w:p>
      <w:pPr>
        <w:pStyle w:val="TOC1"/>
      </w:pPr>
      <w:r>
        <w:t>03. Market Data Foundation</w:t>
      </w:r>
      <w:r>
        <w:tab/>
      </w:r>
      <w:r>
        <w:t> </w:t>
      </w:r>
    </w:p>
    <w:p>
      <w:pPr>
        <w:pStyle w:val="TOC2"/>
      </w:pPr>
      <w:r>
        <w:t>3.1 Symbol &amp; Feed Model</w:t>
      </w:r>
      <w:r>
        <w:tab/>
      </w:r>
      <w:r>
        <w:t> </w:t>
      </w:r>
    </w:p>
    <w:p>
      <w:pPr>
        <w:pStyle w:val="TOC2"/>
      </w:pPr>
      <w:r>
        <w:t>3.2 Time, Sessions &amp; Market Quarters</w:t>
      </w:r>
      <w:r>
        <w:tab/>
      </w:r>
      <w:r>
        <w:t> </w:t>
      </w:r>
    </w:p>
    <w:p>
      <w:pPr>
        <w:pStyle w:val="TOC2"/>
      </w:pPr>
      <w:r>
        <w:t>3.3 Volume Realities on CFD Feeds</w:t>
      </w:r>
      <w:r>
        <w:tab/>
      </w:r>
      <w:r>
        <w:t> </w:t>
      </w:r>
    </w:p>
    <w:p>
      <w:pPr>
        <w:pStyle w:val="TOC1"/>
      </w:pPr>
      <w:r>
        <w:t>04. Delta Flow Engine</w:t>
      </w:r>
      <w:r>
        <w:tab/>
      </w:r>
      <w:r>
        <w:t> </w:t>
      </w:r>
    </w:p>
    <w:p>
      <w:pPr>
        <w:pStyle w:val="TOC1"/>
      </w:pPr>
      <w:r>
        <w:t>05. Money Flow Engine</w:t>
      </w:r>
      <w:r>
        <w:tab/>
      </w:r>
      <w:r>
        <w:t> </w:t>
      </w:r>
    </w:p>
    <w:p>
      <w:pPr>
        <w:pStyle w:val="TOC1"/>
      </w:pPr>
      <w:r>
        <w:t>06. Volume Profile Engine</w:t>
      </w:r>
      <w:r>
        <w:tab/>
      </w:r>
      <w:r>
        <w:t> </w:t>
      </w:r>
    </w:p>
    <w:p>
      <w:pPr>
        <w:pStyle w:val="TOC1"/>
      </w:pPr>
      <w:r>
        <w:t>07. Multi-Anchor VWAP Engine</w:t>
      </w:r>
      <w:r>
        <w:tab/>
      </w:r>
      <w:r>
        <w:t> </w:t>
      </w:r>
    </w:p>
    <w:p>
      <w:pPr>
        <w:pStyle w:val="TOC1"/>
      </w:pPr>
      <w:r>
        <w:t>08. Market Structure Engine</w:t>
      </w:r>
      <w:r>
        <w:tab/>
      </w:r>
      <w:r>
        <w:t> </w:t>
      </w:r>
    </w:p>
    <w:p>
      <w:pPr>
        <w:pStyle w:val="TOC1"/>
      </w:pPr>
      <w:r>
        <w:t>09. AMD Phase Tracker</w:t>
      </w:r>
      <w:r>
        <w:tab/>
      </w:r>
      <w:r>
        <w:t> </w:t>
      </w:r>
    </w:p>
    <w:p>
      <w:pPr>
        <w:pStyle w:val="TOC1"/>
      </w:pPr>
      <w:r>
        <w:t>10. Three-Tier Level-2 Order Book</w:t>
      </w:r>
      <w:r>
        <w:tab/>
      </w:r>
      <w:r>
        <w:t> </w:t>
      </w:r>
    </w:p>
    <w:p>
      <w:pPr>
        <w:pStyle w:val="TOC1"/>
      </w:pPr>
      <w:r>
        <w:t>11. Regime &amp; Session Engine</w:t>
      </w:r>
      <w:r>
        <w:tab/>
      </w:r>
      <w:r>
        <w:t> </w:t>
      </w:r>
    </w:p>
    <w:p>
      <w:pPr>
        <w:pStyle w:val="TOC1"/>
      </w:pPr>
      <w:r>
        <w:t>12. Confluence Signal Engine</w:t>
      </w:r>
      <w:r>
        <w:tab/>
      </w:r>
      <w:r>
        <w:t> </w:t>
      </w:r>
    </w:p>
    <w:p>
      <w:pPr>
        <w:pStyle w:val="TOC2"/>
      </w:pPr>
      <w:r>
        <w:t>12.1 Scoring Matrix</w:t>
      </w:r>
      <w:r>
        <w:tab/>
      </w:r>
      <w:r>
        <w:t> </w:t>
      </w:r>
    </w:p>
    <w:p>
      <w:pPr>
        <w:pStyle w:val="TOC2"/>
      </w:pPr>
      <w:r>
        <w:t>12.2 Adaptive Thresholds</w:t>
      </w:r>
      <w:r>
        <w:tab/>
      </w:r>
      <w:r>
        <w:t> </w:t>
      </w:r>
    </w:p>
    <w:p>
      <w:pPr>
        <w:pStyle w:val="TOC2"/>
      </w:pPr>
      <w:r>
        <w:t>12.3 Trade Synthesis (SL/TP)</w:t>
      </w:r>
      <w:r>
        <w:tab/>
      </w:r>
      <w:r>
        <w:t> </w:t>
      </w:r>
    </w:p>
    <w:p>
      <w:pPr>
        <w:pStyle w:val="TOC2"/>
      </w:pPr>
      <w:r>
        <w:t>12.4 Pseudo-Code</w:t>
      </w:r>
      <w:r>
        <w:tab/>
      </w:r>
      <w:r>
        <w:t> </w:t>
      </w:r>
    </w:p>
    <w:p>
      <w:pPr>
        <w:pStyle w:val="TOC1"/>
      </w:pPr>
      <w:r>
        <w:t>13. Prop-Grade Risk Manager</w:t>
      </w:r>
      <w:r>
        <w:tab/>
      </w:r>
      <w:r>
        <w:t> </w:t>
      </w:r>
    </w:p>
    <w:p>
      <w:pPr>
        <w:pStyle w:val="TOC2"/>
      </w:pPr>
      <w:r>
        <w:t>13.1 Risk Rules</w:t>
      </w:r>
      <w:r>
        <w:tab/>
      </w:r>
      <w:r>
        <w:t> </w:t>
      </w:r>
    </w:p>
    <w:p>
      <w:pPr>
        <w:pStyle w:val="TOC2"/>
      </w:pPr>
      <w:r>
        <w:t>13.2 State Machine &amp; Persistence</w:t>
      </w:r>
      <w:r>
        <w:tab/>
      </w:r>
      <w:r>
        <w:t> </w:t>
      </w:r>
    </w:p>
    <w:p>
      <w:pPr>
        <w:pStyle w:val="TOC2"/>
      </w:pPr>
      <w:r>
        <w:t>13.3 Position Sizing</w:t>
      </w:r>
      <w:r>
        <w:tab/>
      </w:r>
      <w:r>
        <w:t> </w:t>
      </w:r>
    </w:p>
    <w:p>
      <w:pPr>
        <w:pStyle w:val="TOC1"/>
      </w:pPr>
      <w:r>
        <w:t>14. Trade Executor</w:t>
      </w:r>
      <w:r>
        <w:tab/>
      </w:r>
      <w:r>
        <w:t> </w:t>
      </w:r>
    </w:p>
    <w:p>
      <w:pPr>
        <w:pStyle w:val="TOC2"/>
      </w:pPr>
      <w:r>
        <w:t>14.1 Order Lifecycle</w:t>
      </w:r>
      <w:r>
        <w:tab/>
      </w:r>
      <w:r>
        <w:t> </w:t>
      </w:r>
    </w:p>
    <w:p>
      <w:pPr>
        <w:pStyle w:val="TOC2"/>
      </w:pPr>
      <w:r>
        <w:t>14.2 Partial Exits, Break-Even, Trailing, Time-Stop</w:t>
      </w:r>
      <w:r>
        <w:tab/>
      </w:r>
      <w:r>
        <w:t> </w:t>
      </w:r>
    </w:p>
    <w:p>
      <w:pPr>
        <w:pStyle w:val="TOC1"/>
      </w:pPr>
      <w:r>
        <w:t>15. Signal Relay &amp; Multi-Account Broadcast</w:t>
      </w:r>
      <w:r>
        <w:tab/>
      </w:r>
      <w:r>
        <w:t> </w:t>
      </w:r>
    </w:p>
    <w:p>
      <w:pPr>
        <w:pStyle w:val="TOC2"/>
      </w:pPr>
      <w:r>
        <w:t>15.1 Channels</w:t>
      </w:r>
      <w:r>
        <w:tab/>
      </w:r>
      <w:r>
        <w:t> </w:t>
      </w:r>
    </w:p>
    <w:p>
      <w:pPr>
        <w:pStyle w:val="TOC2"/>
      </w:pPr>
      <w:r>
        <w:t>15.2 JSON Signal Schema</w:t>
      </w:r>
      <w:r>
        <w:tab/>
      </w:r>
      <w:r>
        <w:t> </w:t>
      </w:r>
    </w:p>
    <w:p>
      <w:pPr>
        <w:pStyle w:val="TOC1"/>
      </w:pPr>
      <w:r>
        <w:t>16. Companion Indicator</w:t>
      </w:r>
      <w:r>
        <w:tab/>
      </w:r>
      <w:r>
        <w:t> </w:t>
      </w:r>
    </w:p>
    <w:p>
      <w:pPr>
        <w:pStyle w:val="TOC1"/>
      </w:pPr>
      <w:r>
        <w:t>17. File-by-File Build Manifest</w:t>
      </w:r>
      <w:r>
        <w:tab/>
      </w:r>
      <w:r>
        <w:t> </w:t>
      </w:r>
    </w:p>
    <w:p>
      <w:pPr>
        <w:pStyle w:val="TOC2"/>
      </w:pPr>
      <w:r>
        <w:t>17.1 Repository Layout</w:t>
      </w:r>
      <w:r>
        <w:tab/>
      </w:r>
      <w:r>
        <w:t> </w:t>
      </w:r>
    </w:p>
    <w:p>
      <w:pPr>
        <w:pStyle w:val="TOC2"/>
      </w:pPr>
      <w:r>
        <w:t>17.2 Module Interface Summary</w:t>
      </w:r>
      <w:r>
        <w:tab/>
      </w:r>
      <w:r>
        <w:t> </w:t>
      </w:r>
    </w:p>
    <w:p>
      <w:pPr>
        <w:pStyle w:val="TOC1"/>
      </w:pPr>
      <w:r>
        <w:t>18. Validation &amp; Research Results</w:t>
      </w:r>
      <w:r>
        <w:tab/>
      </w:r>
      <w:r>
        <w:t> </w:t>
      </w:r>
    </w:p>
    <w:p>
      <w:pPr>
        <w:pStyle w:val="TOC2"/>
      </w:pPr>
      <w:r>
        <w:t>18.1 Audit Gates</w:t>
      </w:r>
      <w:r>
        <w:tab/>
      </w:r>
      <w:r>
        <w:t> </w:t>
      </w:r>
    </w:p>
    <w:p>
      <w:pPr>
        <w:pStyle w:val="TOC2"/>
      </w:pPr>
      <w:r>
        <w:t>18.2 Backtest Evidence (Synthetic Harness)</w:t>
      </w:r>
      <w:r>
        <w:tab/>
      </w:r>
      <w:r>
        <w:t> </w:t>
      </w:r>
    </w:p>
    <w:p>
      <w:pPr>
        <w:pStyle w:val="TOC2"/>
      </w:pPr>
      <w:r>
        <w:t>18.3 Accepted &amp; Rejected Upgrades</w:t>
      </w:r>
      <w:r>
        <w:tab/>
      </w:r>
      <w:r>
        <w:t> </w:t>
      </w:r>
    </w:p>
    <w:p>
      <w:pPr>
        <w:pStyle w:val="TOC1"/>
      </w:pPr>
      <w:r>
        <w:t>19. Evidence-Gated Improvement Roadmap</w:t>
      </w:r>
      <w:r>
        <w:tab/>
      </w:r>
      <w:r>
        <w:t> </w:t>
      </w:r>
    </w:p>
    <w:p>
      <w:pPr>
        <w:pStyle w:val="TOC1"/>
      </w:pPr>
      <w:r>
        <w:t>20. Development &amp; Go-Live Protocol</w:t>
      </w:r>
      <w:r>
        <w:tab/>
      </w:r>
      <w:r>
        <w:t> </w:t>
      </w:r>
    </w:p>
    <w:p>
      <w:pPr>
        <w:pStyle w:val="TOC1"/>
      </w:pPr>
      <w:r>
        <w:t>Appendix A — Input Parameter Reference</w:t>
      </w:r>
      <w:r>
        <w:tab/>
      </w:r>
      <w:r>
        <w:t> </w:t>
      </w:r>
    </w:p>
    <w:p>
      <w:pPr>
        <w:pStyle w:val="TOC1"/>
      </w:pPr>
      <w:r>
        <w:t>Appendix B — Glossary</w:t>
      </w:r>
      <w:r>
        <w:tab/>
      </w:r>
      <w:r>
        <w:t> </w:t>
      </w:r>
    </w:p>
    <w:p>
      <w:r>
        <w:fldChar w:fldCharType="end"/>
      </w:r>
    </w:p>
    <w:p>
      <w:pPr>
        <w:sectPr>
          <w:type w:val="nextPage"/>
          <w:pgSz w:w="11906" w:h="16838"/>
          <w:pgMar w:top="1800" w:right="1440" w:bottom="1440" w:left="1440" w:header="720" w:footer="720"/>
        </w:sectPr>
      </w:pPr>
    </w:p>
    <w:p>
      <w:pPr>
        <w:pStyle w:val="Heading1"/>
      </w:pPr>
      <w:r>
        <w:t>01. EXECUTIVE SUMMARY</w:t>
      </w:r>
      <w:bookmarkStart w:name="_T3" w:id="3"/>
      <w:bookmarkEnd w:id="3"/>
    </w:p>
    <w:p>
      <w:pPr>
        <w:pStyle w:val="Heading2"/>
      </w:pPr>
      <w:r>
        <w:t>1.1 The System in One Page</w:t>
      </w:r>
    </w:p>
    <w:p>
      <w:r>
        <w:t>APEX NAS100 is a confluence-driven scalping system for the Nasdaq-100 CFD family on MetaTrader 5. It does not predict the market. It waits until eight independent families of evidence — volume profile, delta flow, money flow, anchored VWAPs, price-action structure, accumulation/manipulation/distribution phase, market regime, and order-flow imbalance — agree on the same direction, at the same price, inside the same session. Only then does it risk capital, and it risks a fixed fraction, behind a structural stop, with three staged exits, inside hard daily and overall drawdown cages that make prop-firm rule violations structurally impossible.</w:t>
      </w:r>
    </w:p>
    <w:p>
      <w:r>
        <w:t>The system operates in three modes: fully autonomous trading, signal-only broadcast (for manually copying the same trades to other accounts, platforms or prop firms), and both simultaneously. Every signal is emitted as a machine-readable JSON contract with entry, stop, three targets, score, regime context and human-readable reasons.</w:t>
      </w:r>
    </w:p>
    <w:p>
      <w:pPr>
        <w:spacing w:after="240"/>
      </w:pPr>
      <w:r>
        <w:rPr>
          <w:i/>
          <w:color w:val="546E7A"/>
        </w:rPr>
        <w:t>Design philosophy: evidence in, noise out, risk first. No machine learning, no Python, no DLLs, no paid data feeds — pure MQL5 against the platform's native data, with a three-tier Level-2 order-flow engine that stays functional on any broker feed.</w:t>
      </w:r>
    </w:p>
    <w:p>
      <w:pPr>
        <w:pStyle w:val="Heading2"/>
      </w:pPr>
      <w:r>
        <w:t>1.2 Design Targets &amp; Honest Constraints</w:t>
      </w:r>
    </w:p>
    <w:tbl>
      <w:tblPr>
        <w:tblW w:w="5000" w:type="pct"/>
        <w:tblBorders>
          <w:top w:val="single" w:color="B8860B" w:sz="12"/>
          <w:bottom w:val="single" w:color="B8860B" w:sz="12"/>
          <w:insideH w:val="single" w:color="CFD8DC" w:sz="4"/>
          <w:insideV w:val="single" w:color="CFD8DC" w:sz="4"/>
        </w:tblBorders>
      </w:tblPr>
      <w:tblGrid>
        <w:gridCol w:w="3300"/>
        <w:gridCol w:w="6000"/>
      </w:tblGrid>
      <w:tr>
        <w:trPr>
          <w:tblHeader/>
        </w:trPr>
        <w:tc>
          <w:tcPr>
            <w:tcW w:w="3300" w:type="dxa"/>
            <w:shd w:val="clear" w:fill="ECEFF1"/>
            <w:tcMar>
              <w:top w:w="60" w:type="dxa"/>
              <w:left w:w="100" w:type="dxa"/>
              <w:bottom w:w="60" w:type="dxa"/>
              <w:right w:w="100" w:type="dxa"/>
            </w:tcMar>
          </w:tcPr>
          <w:p>
            <w:pPr>
              <w:spacing w:before="20" w:after="20" w:line="240" w:lineRule="auto"/>
              <w:jc w:val="left"/>
            </w:pPr>
            <w:r>
              <w:rPr>
                <w:b/>
                <w:color w:val="263238"/>
                <w:sz w:val="18"/>
              </w:rPr>
              <w:t>TARGET</w:t>
            </w:r>
          </w:p>
        </w:tc>
        <w:tc>
          <w:tcPr>
            <w:tcW w:w="6000" w:type="dxa"/>
            <w:shd w:val="clear" w:fill="ECEFF1"/>
            <w:tcMar>
              <w:top w:w="60" w:type="dxa"/>
              <w:left w:w="100" w:type="dxa"/>
              <w:bottom w:w="60" w:type="dxa"/>
              <w:right w:w="100" w:type="dxa"/>
            </w:tcMar>
          </w:tcPr>
          <w:p>
            <w:pPr>
              <w:spacing w:before="20" w:after="20" w:line="240" w:lineRule="auto"/>
              <w:jc w:val="left"/>
            </w:pPr>
            <w:r>
              <w:rPr>
                <w:b/>
                <w:color w:val="263238"/>
                <w:sz w:val="18"/>
              </w:rPr>
              <w:t>ARCHITECTURAL ANSWER</w:t>
            </w:r>
          </w:p>
        </w:tc>
      </w:tr>
      <w:tr>
        <w:tc>
          <w:tcPr>
            <w:tcW w:w="3300" w:type="dxa"/>
            <w:tcMar>
              <w:top w:w="60" w:type="dxa"/>
              <w:left w:w="100" w:type="dxa"/>
              <w:bottom w:w="60" w:type="dxa"/>
              <w:right w:w="100" w:type="dxa"/>
            </w:tcMar>
          </w:tcPr>
          <w:p>
            <w:pPr>
              <w:spacing w:before="20" w:after="20" w:line="240" w:lineRule="auto"/>
              <w:jc w:val="left"/>
            </w:pPr>
            <w:r>
              <w:rPr>
                <w:color w:val="37474F"/>
                <w:sz w:val="18"/>
              </w:rPr>
              <w:t>High profitability (engineering goal: ~10%/month class)</w:t>
            </w:r>
          </w:p>
        </w:tc>
        <w:tc>
          <w:tcPr>
            <w:tcW w:w="6000" w:type="dxa"/>
            <w:tcMar>
              <w:top w:w="60" w:type="dxa"/>
              <w:left w:w="100" w:type="dxa"/>
              <w:bottom w:w="60" w:type="dxa"/>
              <w:right w:w="100" w:type="dxa"/>
            </w:tcMar>
          </w:tcPr>
          <w:p>
            <w:pPr>
              <w:spacing w:before="20" w:after="20" w:line="240" w:lineRule="auto"/>
              <w:jc w:val="left"/>
            </w:pPr>
            <w:r>
              <w:rPr>
                <w:color w:val="37474F"/>
                <w:sz w:val="18"/>
              </w:rPr>
              <w:t>Ultra-selective confluence entries only; fixed-fraction risk compounding; staged exits that bank profit at 1R/2R and let a runner trail</w:t>
            </w:r>
          </w:p>
        </w:tc>
      </w:tr>
      <w:tr>
        <w:tc>
          <w:tcPr>
            <w:tcW w:w="3300" w:type="dxa"/>
            <w:tcMar>
              <w:top w:w="60" w:type="dxa"/>
              <w:left w:w="100" w:type="dxa"/>
              <w:bottom w:w="60" w:type="dxa"/>
              <w:right w:w="100" w:type="dxa"/>
            </w:tcMar>
          </w:tcPr>
          <w:p>
            <w:pPr>
              <w:spacing w:before="20" w:after="20" w:line="240" w:lineRule="auto"/>
              <w:jc w:val="left"/>
            </w:pPr>
            <w:r>
              <w:rPr>
                <w:color w:val="37474F"/>
                <w:sz w:val="18"/>
              </w:rPr>
              <w:t>Overall drawdown &lt; 10%</w:t>
            </w:r>
          </w:p>
        </w:tc>
        <w:tc>
          <w:tcPr>
            <w:tcW w:w="6000" w:type="dxa"/>
            <w:tcMar>
              <w:top w:w="60" w:type="dxa"/>
              <w:left w:w="100" w:type="dxa"/>
              <w:bottom w:w="60" w:type="dxa"/>
              <w:right w:w="100" w:type="dxa"/>
            </w:tcMar>
          </w:tcPr>
          <w:p>
            <w:pPr>
              <w:spacing w:before="20" w:after="20" w:line="240" w:lineRule="auto"/>
              <w:jc w:val="left"/>
            </w:pPr>
            <w:r>
              <w:rPr>
                <w:color w:val="37474F"/>
                <w:sz w:val="18"/>
              </w:rPr>
              <w:t>Hard equity cages: daily halt at 90% of daily limit, overall halt at 90% of max-DD limit, measured from a persisted baseline; halts close all exposure</w:t>
            </w:r>
          </w:p>
        </w:tc>
      </w:tr>
      <w:tr>
        <w:tc>
          <w:tcPr>
            <w:tcW w:w="3300" w:type="dxa"/>
            <w:tcMar>
              <w:top w:w="60" w:type="dxa"/>
              <w:left w:w="100" w:type="dxa"/>
              <w:bottom w:w="60" w:type="dxa"/>
              <w:right w:w="100" w:type="dxa"/>
            </w:tcMar>
          </w:tcPr>
          <w:p>
            <w:pPr>
              <w:spacing w:before="20" w:after="20" w:line="240" w:lineRule="auto"/>
              <w:jc w:val="left"/>
            </w:pPr>
            <w:r>
              <w:rPr>
                <w:color w:val="37474F"/>
                <w:sz w:val="18"/>
              </w:rPr>
              <w:t>Prop-firm compatible</w:t>
            </w:r>
          </w:p>
        </w:tc>
        <w:tc>
          <w:tcPr>
            <w:tcW w:w="6000" w:type="dxa"/>
            <w:tcMar>
              <w:top w:w="60" w:type="dxa"/>
              <w:left w:w="100" w:type="dxa"/>
              <w:bottom w:w="60" w:type="dxa"/>
              <w:right w:w="100" w:type="dxa"/>
            </w:tcMar>
          </w:tcPr>
          <w:p>
            <w:pPr>
              <w:spacing w:before="20" w:after="20" w:line="240" w:lineRule="auto"/>
              <w:jc w:val="left"/>
            </w:pPr>
            <w:r>
              <w:rPr>
                <w:color w:val="37474F"/>
                <w:sz w:val="18"/>
              </w:rPr>
              <w:t>Daily-loss guard, overall-loss guard, consistency profit cap, max trades/day, news blackout windows, rollover blackout, Friday cutoff, restart-proof state</w:t>
            </w:r>
          </w:p>
        </w:tc>
      </w:tr>
      <w:tr>
        <w:tc>
          <w:tcPr>
            <w:tcW w:w="3300" w:type="dxa"/>
            <w:tcMar>
              <w:top w:w="60" w:type="dxa"/>
              <w:left w:w="100" w:type="dxa"/>
              <w:bottom w:w="60" w:type="dxa"/>
              <w:right w:w="100" w:type="dxa"/>
            </w:tcMar>
          </w:tcPr>
          <w:p>
            <w:pPr>
              <w:spacing w:before="20" w:after="20" w:line="240" w:lineRule="auto"/>
              <w:jc w:val="left"/>
            </w:pPr>
            <w:r>
              <w:rPr>
                <w:color w:val="37474F"/>
                <w:sz w:val="18"/>
              </w:rPr>
              <w:t>Self-adjusting</w:t>
            </w:r>
          </w:p>
        </w:tc>
        <w:tc>
          <w:tcPr>
            <w:tcW w:w="6000" w:type="dxa"/>
            <w:tcMar>
              <w:top w:w="60" w:type="dxa"/>
              <w:left w:w="100" w:type="dxa"/>
              <w:bottom w:w="60" w:type="dxa"/>
              <w:right w:w="100" w:type="dxa"/>
            </w:tcMar>
          </w:tcPr>
          <w:p>
            <w:pPr>
              <w:spacing w:before="20" w:after="20" w:line="240" w:lineRule="auto"/>
              <w:jc w:val="left"/>
            </w:pPr>
            <w:r>
              <w:rPr>
                <w:color w:val="37474F"/>
                <w:sz w:val="18"/>
              </w:rPr>
              <w:t>Regime-adaptive score thresholds, volatility-scaled stops/targets, session filters, quarterly VWAP bias, market-quarter awareness</w:t>
            </w:r>
          </w:p>
        </w:tc>
      </w:tr>
      <w:tr>
        <w:tc>
          <w:tcPr>
            <w:tcW w:w="3300" w:type="dxa"/>
            <w:tcMar>
              <w:top w:w="60" w:type="dxa"/>
              <w:left w:w="100" w:type="dxa"/>
              <w:bottom w:w="60" w:type="dxa"/>
              <w:right w:w="100" w:type="dxa"/>
            </w:tcMar>
          </w:tcPr>
          <w:p>
            <w:pPr>
              <w:spacing w:before="20" w:after="20" w:line="240" w:lineRule="auto"/>
              <w:jc w:val="left"/>
            </w:pPr>
            <w:r>
              <w:rPr>
                <w:color w:val="37474F"/>
                <w:sz w:val="18"/>
              </w:rPr>
              <w:t>All market conditions</w:t>
            </w:r>
          </w:p>
        </w:tc>
        <w:tc>
          <w:tcPr>
            <w:tcW w:w="6000" w:type="dxa"/>
            <w:tcMar>
              <w:top w:w="60" w:type="dxa"/>
              <w:left w:w="100" w:type="dxa"/>
              <w:bottom w:w="60" w:type="dxa"/>
              <w:right w:w="100" w:type="dxa"/>
            </w:tcMar>
          </w:tcPr>
          <w:p>
            <w:pPr>
              <w:spacing w:before="20" w:after="20" w:line="240" w:lineRule="auto"/>
              <w:jc w:val="left"/>
            </w:pPr>
            <w:r>
              <w:rPr>
                <w:color w:val="37474F"/>
                <w:sz w:val="18"/>
              </w:rPr>
              <w:t>Five regimes (trend up/down, range, breakout, quiet) with per-regime permissions; quiet regime blocks trading outright</w:t>
            </w:r>
          </w:p>
        </w:tc>
      </w:tr>
    </w:tbl>
    <w:p>
      <w:pPr>
        <w:spacing w:after="160"/>
      </w:pPr>
    </w:p>
    <w:p>
      <w:r>
        <w:t>Honest constraint, stated as a specification rule rather than a footnote: no architecture can guarantee a return. This document specifies a system engineered toward the targets above. Profitability is a property that must be re-earned on real broker data through the go-live protocol in Section 20 — not assumed from this document.</w:t>
      </w:r>
    </w:p>
    <w:p>
      <w:pPr>
        <w:pStyle w:val="Heading2"/>
      </w:pPr>
      <w:r>
        <w:t>1.3 What v2.0 Changes</w:t>
      </w:r>
    </w:p>
    <w:p>
      <w:pPr>
        <w:numPr>
          <w:ilvl w:val="0"/>
          <w:numId w:val="1"/>
        </w:numPr>
      </w:pPr>
      <w:r>
        <w:rPr>
          <w:b/>
        </w:rPr>
        <w:t>Three-tier order book — </w:t>
      </w:r>
      <w:r>
        <w:t>the Level-2 layer no longer degrades to nothing on brokers without DOM; it rebuilds a synthetic order book from the tick stream (aggressive volume-at-price ladder) plus order-flow imbalance (OFI), with native DOM as the top tier.</w:t>
      </w:r>
    </w:p>
    <w:p>
      <w:pPr>
        <w:numPr>
          <w:ilvl w:val="0"/>
          <w:numId w:val="1"/>
        </w:numPr>
      </w:pPr>
      <w:r>
        <w:rPr>
          <w:b/>
        </w:rPr>
        <w:t>Time-stop exit — </w:t>
      </w:r>
      <w:r>
        <w:t>scalps that fail to resolve within N bars are closed at market — validated across six Monte-Carlo seeds as a drawdown reducer (Section 18).</w:t>
      </w:r>
    </w:p>
    <w:p>
      <w:pPr>
        <w:numPr>
          <w:ilvl w:val="0"/>
          <w:numId w:val="1"/>
        </w:numPr>
      </w:pPr>
      <w:r>
        <w:rPr>
          <w:b/>
        </w:rPr>
        <w:t>Evidence-gated roadmap — </w:t>
      </w:r>
      <w:r>
        <w:t>two candidate upgrades were tested and formally rejected because they did not improve results; the acceptance protocol is now part of the architecture (Section 19).</w:t>
      </w:r>
    </w:p>
    <w:p>
      <w:pPr>
        <w:pStyle w:val="Heading1"/>
      </w:pPr>
      <w:r>
        <w:t>02. SYSTEM TOPOLOGY &amp; DATA FLOW</w:t>
      </w:r>
      <w:bookmarkStart w:name="_T4" w:id="4"/>
      <w:bookmarkEnd w:id="4"/>
    </w:p>
    <w:p>
      <w:pPr>
        <w:pStyle w:val="Heading2"/>
      </w:pPr>
      <w:r>
        <w:t>2.1 Layer Model</w:t>
      </w:r>
    </w:p>
    <w:p>
      <w:r>
        <w:t>The system is twelve modules in four layers, plus a configuration contract shared by all. No module talks to the market except the executor; no module talks to the account except the risk manager. Analytics modules are pure functions of market data — testable in isolation.</w:t>
      </w:r>
    </w:p>
    <w:tbl>
      <w:tblPr>
        <w:tblW w:w="5000" w:type="pct"/>
        <w:tblBorders>
          <w:top w:val="single" w:color="B8860B" w:sz="12"/>
          <w:bottom w:val="single" w:color="B8860B" w:sz="12"/>
          <w:insideH w:val="single" w:color="CFD8DC" w:sz="4"/>
          <w:insideV w:val="single" w:color="CFD8DC" w:sz="4"/>
        </w:tblBorders>
      </w:tblPr>
      <w:tblGrid>
        <w:gridCol w:w="1500"/>
        <w:gridCol w:w="3300"/>
        <w:gridCol w:w="4500"/>
      </w:tblGrid>
      <w:tr>
        <w:trPr>
          <w:tblHeader/>
        </w:trPr>
        <w:tc>
          <w:tcPr>
            <w:tcW w:w="1500" w:type="dxa"/>
            <w:shd w:val="clear" w:fill="ECEFF1"/>
            <w:tcMar>
              <w:top w:w="60" w:type="dxa"/>
              <w:left w:w="100" w:type="dxa"/>
              <w:bottom w:w="60" w:type="dxa"/>
              <w:right w:w="100" w:type="dxa"/>
            </w:tcMar>
          </w:tcPr>
          <w:p>
            <w:pPr>
              <w:spacing w:before="20" w:after="20" w:line="240" w:lineRule="auto"/>
              <w:jc w:val="left"/>
            </w:pPr>
            <w:r>
              <w:rPr>
                <w:b/>
                <w:color w:val="263238"/>
                <w:sz w:val="18"/>
              </w:rPr>
              <w:t>LAYER</w:t>
            </w:r>
          </w:p>
        </w:tc>
        <w:tc>
          <w:tcPr>
            <w:tcW w:w="3300" w:type="dxa"/>
            <w:shd w:val="clear" w:fill="ECEFF1"/>
            <w:tcMar>
              <w:top w:w="60" w:type="dxa"/>
              <w:left w:w="100" w:type="dxa"/>
              <w:bottom w:w="60" w:type="dxa"/>
              <w:right w:w="100" w:type="dxa"/>
            </w:tcMar>
          </w:tcPr>
          <w:p>
            <w:pPr>
              <w:spacing w:before="20" w:after="20" w:line="240" w:lineRule="auto"/>
              <w:jc w:val="left"/>
            </w:pPr>
            <w:r>
              <w:rPr>
                <w:b/>
                <w:color w:val="263238"/>
                <w:sz w:val="18"/>
              </w:rPr>
              <w:t>MODULES</w:t>
            </w:r>
          </w:p>
        </w:tc>
        <w:tc>
          <w:tcPr>
            <w:tcW w:w="4500" w:type="dxa"/>
            <w:shd w:val="clear" w:fill="ECEFF1"/>
            <w:tcMar>
              <w:top w:w="60" w:type="dxa"/>
              <w:left w:w="100" w:type="dxa"/>
              <w:bottom w:w="60" w:type="dxa"/>
              <w:right w:w="100" w:type="dxa"/>
            </w:tcMar>
          </w:tcPr>
          <w:p>
            <w:pPr>
              <w:spacing w:before="20" w:after="20" w:line="240" w:lineRule="auto"/>
              <w:jc w:val="left"/>
            </w:pPr>
            <w:r>
              <w:rPr>
                <w:b/>
                <w:color w:val="263238"/>
                <w:sz w:val="18"/>
              </w:rPr>
              <w:t>RESPONSIBILITY</w:t>
            </w:r>
          </w:p>
        </w:tc>
      </w:tr>
      <w:tr>
        <w:tc>
          <w:tcPr>
            <w:tcW w:w="1500" w:type="dxa"/>
            <w:tcMar>
              <w:top w:w="60" w:type="dxa"/>
              <w:left w:w="100" w:type="dxa"/>
              <w:bottom w:w="60" w:type="dxa"/>
              <w:right w:w="100" w:type="dxa"/>
            </w:tcMar>
          </w:tcPr>
          <w:p>
            <w:pPr>
              <w:spacing w:before="20" w:after="20" w:line="240" w:lineRule="auto"/>
              <w:jc w:val="left"/>
            </w:pPr>
            <w:r>
              <w:rPr>
                <w:color w:val="37474F"/>
                <w:sz w:val="18"/>
              </w:rPr>
              <w:t>L1 Sense</w:t>
            </w:r>
          </w:p>
        </w:tc>
        <w:tc>
          <w:tcPr>
            <w:tcW w:w="3300" w:type="dxa"/>
            <w:tcMar>
              <w:top w:w="60" w:type="dxa"/>
              <w:left w:w="100" w:type="dxa"/>
              <w:bottom w:w="60" w:type="dxa"/>
              <w:right w:w="100" w:type="dxa"/>
            </w:tcMar>
          </w:tcPr>
          <w:p>
            <w:pPr>
              <w:spacing w:before="20" w:after="20" w:line="240" w:lineRule="auto"/>
              <w:jc w:val="left"/>
            </w:pPr>
            <w:r>
              <w:rPr>
                <w:color w:val="37474F"/>
                <w:sz w:val="18"/>
              </w:rPr>
              <w:t>DeltaFlow, MoneyFlow, VolumeProfile, VWAP, MarketStructure, OrderBook, Regime</w:t>
            </w:r>
          </w:p>
        </w:tc>
        <w:tc>
          <w:tcPr>
            <w:tcW w:w="4500" w:type="dxa"/>
            <w:tcMar>
              <w:top w:w="60" w:type="dxa"/>
              <w:left w:w="100" w:type="dxa"/>
              <w:bottom w:w="60" w:type="dxa"/>
              <w:right w:w="100" w:type="dxa"/>
            </w:tcMar>
          </w:tcPr>
          <w:p>
            <w:pPr>
              <w:spacing w:before="20" w:after="20" w:line="240" w:lineRule="auto"/>
              <w:jc w:val="left"/>
            </w:pPr>
            <w:r>
              <w:rPr>
                <w:color w:val="37474F"/>
                <w:sz w:val="18"/>
              </w:rPr>
              <w:t>Convert raw ticks/bars into structured market evidence</w:t>
            </w:r>
          </w:p>
        </w:tc>
      </w:tr>
      <w:tr>
        <w:tc>
          <w:tcPr>
            <w:tcW w:w="1500" w:type="dxa"/>
            <w:tcMar>
              <w:top w:w="60" w:type="dxa"/>
              <w:left w:w="100" w:type="dxa"/>
              <w:bottom w:w="60" w:type="dxa"/>
              <w:right w:w="100" w:type="dxa"/>
            </w:tcMar>
          </w:tcPr>
          <w:p>
            <w:pPr>
              <w:spacing w:before="20" w:after="20" w:line="240" w:lineRule="auto"/>
              <w:jc w:val="left"/>
            </w:pPr>
            <w:r>
              <w:rPr>
                <w:color w:val="37474F"/>
                <w:sz w:val="18"/>
              </w:rPr>
              <w:t>L2 Interpret</w:t>
            </w:r>
          </w:p>
        </w:tc>
        <w:tc>
          <w:tcPr>
            <w:tcW w:w="3300" w:type="dxa"/>
            <w:tcMar>
              <w:top w:w="60" w:type="dxa"/>
              <w:left w:w="100" w:type="dxa"/>
              <w:bottom w:w="60" w:type="dxa"/>
              <w:right w:w="100" w:type="dxa"/>
            </w:tcMar>
          </w:tcPr>
          <w:p>
            <w:pPr>
              <w:spacing w:before="20" w:after="20" w:line="240" w:lineRule="auto"/>
              <w:jc w:val="left"/>
            </w:pPr>
            <w:r>
              <w:rPr>
                <w:color w:val="37474F"/>
                <w:sz w:val="18"/>
              </w:rPr>
              <w:t>AMDTracker, RegimeEngine (phase + regime labels)</w:t>
            </w:r>
          </w:p>
        </w:tc>
        <w:tc>
          <w:tcPr>
            <w:tcW w:w="4500" w:type="dxa"/>
            <w:tcMar>
              <w:top w:w="60" w:type="dxa"/>
              <w:left w:w="100" w:type="dxa"/>
              <w:bottom w:w="60" w:type="dxa"/>
              <w:right w:w="100" w:type="dxa"/>
            </w:tcMar>
          </w:tcPr>
          <w:p>
            <w:pPr>
              <w:spacing w:before="20" w:after="20" w:line="240" w:lineRule="auto"/>
              <w:jc w:val="left"/>
            </w:pPr>
            <w:r>
              <w:rPr>
                <w:color w:val="37474F"/>
                <w:sz w:val="18"/>
              </w:rPr>
              <w:t>Classify the market's current story: accumulation/manipulation/distribution; trend/range/breakout/quiet</w:t>
            </w:r>
          </w:p>
        </w:tc>
      </w:tr>
      <w:tr>
        <w:tc>
          <w:tcPr>
            <w:tcW w:w="1500" w:type="dxa"/>
            <w:tcMar>
              <w:top w:w="60" w:type="dxa"/>
              <w:left w:w="100" w:type="dxa"/>
              <w:bottom w:w="60" w:type="dxa"/>
              <w:right w:w="100" w:type="dxa"/>
            </w:tcMar>
          </w:tcPr>
          <w:p>
            <w:pPr>
              <w:spacing w:before="20" w:after="20" w:line="240" w:lineRule="auto"/>
              <w:jc w:val="left"/>
            </w:pPr>
            <w:r>
              <w:rPr>
                <w:color w:val="37474F"/>
                <w:sz w:val="18"/>
              </w:rPr>
              <w:t>L3 Decide</w:t>
            </w:r>
          </w:p>
        </w:tc>
        <w:tc>
          <w:tcPr>
            <w:tcW w:w="3300" w:type="dxa"/>
            <w:tcMar>
              <w:top w:w="60" w:type="dxa"/>
              <w:left w:w="100" w:type="dxa"/>
              <w:bottom w:w="60" w:type="dxa"/>
              <w:right w:w="100" w:type="dxa"/>
            </w:tcMar>
          </w:tcPr>
          <w:p>
            <w:pPr>
              <w:spacing w:before="20" w:after="20" w:line="240" w:lineRule="auto"/>
              <w:jc w:val="left"/>
            </w:pPr>
            <w:r>
              <w:rPr>
                <w:color w:val="37474F"/>
                <w:sz w:val="18"/>
              </w:rPr>
              <w:t>SignalEngine (confluence scorer), RiskManager (gates)</w:t>
            </w:r>
          </w:p>
        </w:tc>
        <w:tc>
          <w:tcPr>
            <w:tcW w:w="4500" w:type="dxa"/>
            <w:tcMar>
              <w:top w:w="60" w:type="dxa"/>
              <w:left w:w="100" w:type="dxa"/>
              <w:bottom w:w="60" w:type="dxa"/>
              <w:right w:w="100" w:type="dxa"/>
            </w:tcMar>
          </w:tcPr>
          <w:p>
            <w:pPr>
              <w:spacing w:before="20" w:after="20" w:line="240" w:lineRule="auto"/>
              <w:jc w:val="left"/>
            </w:pPr>
            <w:r>
              <w:rPr>
                <w:color w:val="37474F"/>
                <w:sz w:val="18"/>
              </w:rPr>
              <w:t>Assemble evidence into a scored trade decision; veto anything the account cannot afford</w:t>
            </w:r>
          </w:p>
        </w:tc>
      </w:tr>
      <w:tr>
        <w:tc>
          <w:tcPr>
            <w:tcW w:w="1500" w:type="dxa"/>
            <w:tcMar>
              <w:top w:w="60" w:type="dxa"/>
              <w:left w:w="100" w:type="dxa"/>
              <w:bottom w:w="60" w:type="dxa"/>
              <w:right w:w="100" w:type="dxa"/>
            </w:tcMar>
          </w:tcPr>
          <w:p>
            <w:pPr>
              <w:spacing w:before="20" w:after="20" w:line="240" w:lineRule="auto"/>
              <w:jc w:val="left"/>
            </w:pPr>
            <w:r>
              <w:rPr>
                <w:color w:val="37474F"/>
                <w:sz w:val="18"/>
              </w:rPr>
              <w:t>L4 Act</w:t>
            </w:r>
          </w:p>
        </w:tc>
        <w:tc>
          <w:tcPr>
            <w:tcW w:w="3300" w:type="dxa"/>
            <w:tcMar>
              <w:top w:w="60" w:type="dxa"/>
              <w:left w:w="100" w:type="dxa"/>
              <w:bottom w:w="60" w:type="dxa"/>
              <w:right w:w="100" w:type="dxa"/>
            </w:tcMar>
          </w:tcPr>
          <w:p>
            <w:pPr>
              <w:spacing w:before="20" w:after="20" w:line="240" w:lineRule="auto"/>
              <w:jc w:val="left"/>
            </w:pPr>
            <w:r>
              <w:rPr>
                <w:color w:val="37474F"/>
                <w:sz w:val="18"/>
              </w:rPr>
              <w:t>TradeExecutor, SignalRelay</w:t>
            </w:r>
          </w:p>
        </w:tc>
        <w:tc>
          <w:tcPr>
            <w:tcW w:w="4500" w:type="dxa"/>
            <w:tcMar>
              <w:top w:w="60" w:type="dxa"/>
              <w:left w:w="100" w:type="dxa"/>
              <w:bottom w:w="60" w:type="dxa"/>
              <w:right w:w="100" w:type="dxa"/>
            </w:tcMar>
          </w:tcPr>
          <w:p>
            <w:pPr>
              <w:spacing w:before="20" w:after="20" w:line="240" w:lineRule="auto"/>
              <w:jc w:val="left"/>
            </w:pPr>
            <w:r>
              <w:rPr>
                <w:color w:val="37474F"/>
                <w:sz w:val="18"/>
              </w:rPr>
              <w:t>Execute and manage the position; broadcast the signal contract</w:t>
            </w:r>
          </w:p>
        </w:tc>
      </w:tr>
      <w:tr>
        <w:tc>
          <w:tcPr>
            <w:tcW w:w="1500" w:type="dxa"/>
            <w:tcMar>
              <w:top w:w="60" w:type="dxa"/>
              <w:left w:w="100" w:type="dxa"/>
              <w:bottom w:w="60" w:type="dxa"/>
              <w:right w:w="100" w:type="dxa"/>
            </w:tcMar>
          </w:tcPr>
          <w:p>
            <w:pPr>
              <w:spacing w:before="20" w:after="20" w:line="240" w:lineRule="auto"/>
              <w:jc w:val="left"/>
            </w:pPr>
            <w:r>
              <w:rPr>
                <w:color w:val="37474F"/>
                <w:sz w:val="18"/>
              </w:rPr>
              <w:t>Shared</w:t>
            </w:r>
          </w:p>
        </w:tc>
        <w:tc>
          <w:tcPr>
            <w:tcW w:w="3300" w:type="dxa"/>
            <w:tcMar>
              <w:top w:w="60" w:type="dxa"/>
              <w:left w:w="100" w:type="dxa"/>
              <w:bottom w:w="60" w:type="dxa"/>
              <w:right w:w="100" w:type="dxa"/>
            </w:tcMar>
          </w:tcPr>
          <w:p>
            <w:pPr>
              <w:spacing w:before="20" w:after="20" w:line="240" w:lineRule="auto"/>
              <w:jc w:val="left"/>
            </w:pPr>
            <w:r>
              <w:rPr>
                <w:color w:val="37474F"/>
                <w:sz w:val="18"/>
              </w:rPr>
              <w:t>Config (Apex_Config), companion Indicator</w:t>
            </w:r>
          </w:p>
        </w:tc>
        <w:tc>
          <w:tcPr>
            <w:tcW w:w="4500" w:type="dxa"/>
            <w:tcMar>
              <w:top w:w="60" w:type="dxa"/>
              <w:left w:w="100" w:type="dxa"/>
              <w:bottom w:w="60" w:type="dxa"/>
              <w:right w:w="100" w:type="dxa"/>
            </w:tcMar>
          </w:tcPr>
          <w:p>
            <w:pPr>
              <w:spacing w:before="20" w:after="20" w:line="240" w:lineRule="auto"/>
              <w:jc w:val="left"/>
            </w:pPr>
            <w:r>
              <w:rPr>
                <w:color w:val="37474F"/>
                <w:sz w:val="18"/>
              </w:rPr>
              <w:t>One immutable contract of enums, structs, tunables; visual twin of the decision engine</w:t>
            </w:r>
          </w:p>
        </w:tc>
      </w:tr>
    </w:tbl>
    <w:p>
      <w:pPr>
        <w:pStyle w:val="Heading2"/>
      </w:pPr>
      <w:r>
        <w:t>2.2 Operating Modes</w:t>
      </w:r>
    </w:p>
    <w:tbl>
      <w:tblPr>
        <w:tblW w:w="5000" w:type="pct"/>
        <w:tblBorders>
          <w:top w:val="single" w:color="B8860B" w:sz="12"/>
          <w:bottom w:val="single" w:color="B8860B" w:sz="12"/>
          <w:insideH w:val="single" w:color="CFD8DC" w:sz="4"/>
          <w:insideV w:val="single" w:color="CFD8DC" w:sz="4"/>
        </w:tblBorders>
      </w:tblPr>
      <w:tblGrid>
        <w:gridCol w:w="1800"/>
        <w:gridCol w:w="3700"/>
        <w:gridCol w:w="3800"/>
      </w:tblGrid>
      <w:tr>
        <w:trPr>
          <w:tblHeader/>
        </w:trPr>
        <w:tc>
          <w:tcPr>
            <w:tcW w:w="1800" w:type="dxa"/>
            <w:shd w:val="clear" w:fill="ECEFF1"/>
            <w:tcMar>
              <w:top w:w="60" w:type="dxa"/>
              <w:left w:w="100" w:type="dxa"/>
              <w:bottom w:w="60" w:type="dxa"/>
              <w:right w:w="100" w:type="dxa"/>
            </w:tcMar>
          </w:tcPr>
          <w:p>
            <w:pPr>
              <w:spacing w:before="20" w:after="20" w:line="240" w:lineRule="auto"/>
              <w:jc w:val="left"/>
            </w:pPr>
            <w:r>
              <w:rPr>
                <w:b/>
                <w:color w:val="263238"/>
                <w:sz w:val="18"/>
              </w:rPr>
              <w:t>MODE</w:t>
            </w:r>
          </w:p>
        </w:tc>
        <w:tc>
          <w:tcPr>
            <w:tcW w:w="3700" w:type="dxa"/>
            <w:shd w:val="clear" w:fill="ECEFF1"/>
            <w:tcMar>
              <w:top w:w="60" w:type="dxa"/>
              <w:left w:w="100" w:type="dxa"/>
              <w:bottom w:w="60" w:type="dxa"/>
              <w:right w:w="100" w:type="dxa"/>
            </w:tcMar>
          </w:tcPr>
          <w:p>
            <w:pPr>
              <w:spacing w:before="20" w:after="20" w:line="240" w:lineRule="auto"/>
              <w:jc w:val="left"/>
            </w:pPr>
            <w:r>
              <w:rPr>
                <w:b/>
                <w:color w:val="263238"/>
                <w:sz w:val="18"/>
              </w:rPr>
              <w:t>TRADES ITSELF</w:t>
            </w:r>
          </w:p>
        </w:tc>
        <w:tc>
          <w:tcPr>
            <w:tcW w:w="3800" w:type="dxa"/>
            <w:shd w:val="clear" w:fill="ECEFF1"/>
            <w:tcMar>
              <w:top w:w="60" w:type="dxa"/>
              <w:left w:w="100" w:type="dxa"/>
              <w:bottom w:w="60" w:type="dxa"/>
              <w:right w:w="100" w:type="dxa"/>
            </w:tcMar>
          </w:tcPr>
          <w:p>
            <w:pPr>
              <w:spacing w:before="20" w:after="20" w:line="240" w:lineRule="auto"/>
              <w:jc w:val="left"/>
            </w:pPr>
            <w:r>
              <w:rPr>
                <w:b/>
                <w:color w:val="263238"/>
                <w:sz w:val="18"/>
              </w:rPr>
              <w:t>BROADCASTS SIGNALS</w:t>
            </w:r>
          </w:p>
        </w:tc>
      </w:tr>
      <w:tr>
        <w:tc>
          <w:tcPr>
            <w:tcW w:w="1800" w:type="dxa"/>
            <w:tcMar>
              <w:top w:w="60" w:type="dxa"/>
              <w:left w:w="100" w:type="dxa"/>
              <w:bottom w:w="60" w:type="dxa"/>
              <w:right w:w="100" w:type="dxa"/>
            </w:tcMar>
          </w:tcPr>
          <w:p>
            <w:pPr>
              <w:spacing w:before="20" w:after="20" w:line="240" w:lineRule="auto"/>
              <w:jc w:val="left"/>
            </w:pPr>
            <w:r>
              <w:rPr>
                <w:color w:val="37474F"/>
                <w:sz w:val="18"/>
              </w:rPr>
              <w:t>AUTO</w:t>
            </w:r>
          </w:p>
        </w:tc>
        <w:tc>
          <w:tcPr>
            <w:tcW w:w="3700" w:type="dxa"/>
            <w:tcMar>
              <w:top w:w="60" w:type="dxa"/>
              <w:left w:w="100" w:type="dxa"/>
              <w:bottom w:w="60" w:type="dxa"/>
              <w:right w:w="100" w:type="dxa"/>
            </w:tcMar>
          </w:tcPr>
          <w:p>
            <w:pPr>
              <w:spacing w:before="20" w:after="20" w:line="240" w:lineRule="auto"/>
              <w:jc w:val="left"/>
            </w:pPr>
            <w:r>
              <w:rPr>
                <w:color w:val="37474F"/>
                <w:sz w:val="18"/>
              </w:rPr>
              <w:t>Yes — full lifecycle management</w:t>
            </w:r>
          </w:p>
        </w:tc>
        <w:tc>
          <w:tcPr>
            <w:tcW w:w="3800" w:type="dxa"/>
            <w:tcMar>
              <w:top w:w="60" w:type="dxa"/>
              <w:left w:w="100" w:type="dxa"/>
              <w:bottom w:w="60" w:type="dxa"/>
              <w:right w:w="100" w:type="dxa"/>
            </w:tcMar>
          </w:tcPr>
          <w:p>
            <w:pPr>
              <w:spacing w:before="20" w:after="20" w:line="240" w:lineRule="auto"/>
              <w:jc w:val="left"/>
            </w:pPr>
            <w:r>
              <w:rPr>
                <w:color w:val="37474F"/>
                <w:sz w:val="18"/>
              </w:rPr>
              <w:t>No</w:t>
            </w:r>
          </w:p>
        </w:tc>
      </w:tr>
      <w:tr>
        <w:tc>
          <w:tcPr>
            <w:tcW w:w="1800" w:type="dxa"/>
            <w:tcMar>
              <w:top w:w="60" w:type="dxa"/>
              <w:left w:w="100" w:type="dxa"/>
              <w:bottom w:w="60" w:type="dxa"/>
              <w:right w:w="100" w:type="dxa"/>
            </w:tcMar>
          </w:tcPr>
          <w:p>
            <w:pPr>
              <w:spacing w:before="20" w:after="20" w:line="240" w:lineRule="auto"/>
              <w:jc w:val="left"/>
            </w:pPr>
            <w:r>
              <w:rPr>
                <w:color w:val="37474F"/>
                <w:sz w:val="18"/>
              </w:rPr>
              <w:t>SIGNALS</w:t>
            </w:r>
          </w:p>
        </w:tc>
        <w:tc>
          <w:tcPr>
            <w:tcW w:w="3700" w:type="dxa"/>
            <w:tcMar>
              <w:top w:w="60" w:type="dxa"/>
              <w:left w:w="100" w:type="dxa"/>
              <w:bottom w:w="60" w:type="dxa"/>
              <w:right w:w="100" w:type="dxa"/>
            </w:tcMar>
          </w:tcPr>
          <w:p>
            <w:pPr>
              <w:spacing w:before="20" w:after="20" w:line="240" w:lineRule="auto"/>
              <w:jc w:val="left"/>
            </w:pPr>
            <w:r>
              <w:rPr>
                <w:color w:val="37474F"/>
                <w:sz w:val="18"/>
              </w:rPr>
              <w:t>No — zero order privileges</w:t>
            </w:r>
          </w:p>
        </w:tc>
        <w:tc>
          <w:tcPr>
            <w:tcW w:w="3800" w:type="dxa"/>
            <w:tcMar>
              <w:top w:w="60" w:type="dxa"/>
              <w:left w:w="100" w:type="dxa"/>
              <w:bottom w:w="60" w:type="dxa"/>
              <w:right w:w="100" w:type="dxa"/>
            </w:tcMar>
          </w:tcPr>
          <w:p>
            <w:pPr>
              <w:spacing w:before="20" w:after="20" w:line="240" w:lineRule="auto"/>
              <w:jc w:val="left"/>
            </w:pPr>
            <w:r>
              <w:rPr>
                <w:color w:val="37474F"/>
                <w:sz w:val="18"/>
              </w:rPr>
              <w:t>Yes — JSON file, CSV log, phone push</w:t>
            </w:r>
          </w:p>
        </w:tc>
      </w:tr>
      <w:tr>
        <w:tc>
          <w:tcPr>
            <w:tcW w:w="1800" w:type="dxa"/>
            <w:tcMar>
              <w:top w:w="60" w:type="dxa"/>
              <w:left w:w="100" w:type="dxa"/>
              <w:bottom w:w="60" w:type="dxa"/>
              <w:right w:w="100" w:type="dxa"/>
            </w:tcMar>
          </w:tcPr>
          <w:p>
            <w:pPr>
              <w:spacing w:before="20" w:after="20" w:line="240" w:lineRule="auto"/>
              <w:jc w:val="left"/>
            </w:pPr>
            <w:r>
              <w:rPr>
                <w:color w:val="37474F"/>
                <w:sz w:val="18"/>
              </w:rPr>
              <w:t>BOTH (default)</w:t>
            </w:r>
          </w:p>
        </w:tc>
        <w:tc>
          <w:tcPr>
            <w:tcW w:w="3700" w:type="dxa"/>
            <w:tcMar>
              <w:top w:w="60" w:type="dxa"/>
              <w:left w:w="100" w:type="dxa"/>
              <w:bottom w:w="60" w:type="dxa"/>
              <w:right w:w="100" w:type="dxa"/>
            </w:tcMar>
          </w:tcPr>
          <w:p>
            <w:pPr>
              <w:spacing w:before="20" w:after="20" w:line="240" w:lineRule="auto"/>
              <w:jc w:val="left"/>
            </w:pPr>
            <w:r>
              <w:rPr>
                <w:color w:val="37474F"/>
                <w:sz w:val="18"/>
              </w:rPr>
              <w:t>Yes</w:t>
            </w:r>
          </w:p>
        </w:tc>
        <w:tc>
          <w:tcPr>
            <w:tcW w:w="3800" w:type="dxa"/>
            <w:tcMar>
              <w:top w:w="60" w:type="dxa"/>
              <w:left w:w="100" w:type="dxa"/>
              <w:bottom w:w="60" w:type="dxa"/>
              <w:right w:w="100" w:type="dxa"/>
            </w:tcMar>
          </w:tcPr>
          <w:p>
            <w:pPr>
              <w:spacing w:before="20" w:after="20" w:line="240" w:lineRule="auto"/>
              <w:jc w:val="left"/>
            </w:pPr>
            <w:r>
              <w:rPr>
                <w:color w:val="37474F"/>
                <w:sz w:val="18"/>
              </w:rPr>
              <w:t>Yes — identical payload to the trade taken</w:t>
            </w:r>
          </w:p>
        </w:tc>
      </w:tr>
    </w:tbl>
    <w:p>
      <w:pPr>
        <w:pStyle w:val="Heading2"/>
      </w:pPr>
      <w:r>
        <w:t>2.3 Per-Tick / Per-Bar Pipeline</w:t>
      </w:r>
    </w:p>
    <w:tbl>
      <w:tblPr>
        <w:tblW w:w="5000" w:type="pct"/>
        <w:tblBorders>
          <w:top w:val="single" w:color="B8860B" w:sz="6"/>
          <w:left w:val="single" w:color="B8860B" w:sz="6"/>
          <w:bottom w:val="single" w:color="B8860B" w:sz="6"/>
          <w:right w:val="single" w:color="B8860B" w:sz="6"/>
        </w:tblBorders>
      </w:tblPr>
      <w:tblGrid>
        <w:gridCol w:w="9300"/>
      </w:tblGrid>
      <w:tr>
        <w:tc>
          <w:tcPr>
            <w:tcW w:w="9300" w:type="dxa"/>
            <w:shd w:val="clear" w:fill="1C262B"/>
            <w:tcMar>
              <w:top w:w="80" w:type="dxa"/>
              <w:left w:w="160" w:type="dxa"/>
              <w:bottom w:w="80" w:type="dxa"/>
            </w:tcMar>
          </w:tcPr>
          <w:p>
            <w:r>
              <w:rPr>
                <w:rFonts w:ascii="Consolas" w:hAnsi="Consolas"/>
                <w:b/>
                <w:color w:val="D4AF37"/>
                <w:sz w:val="17"/>
              </w:rPr>
              <w:t>PIPELINE — event flow</w:t>
            </w:r>
          </w:p>
        </w:tc>
      </w:tr>
      <w:tr>
        <w:tc>
          <w:tcPr>
            <w:tcW w:w="9300" w:type="dxa"/>
            <w:shd w:val="clear" w:fill="263238"/>
            <w:tcMar>
              <w:top w:w="100" w:type="dxa"/>
              <w:left w:w="160" w:type="dxa"/>
              <w:bottom w:w="100" w:type="dxa"/>
              <w:right w:w="100" w:type="dxa"/>
            </w:tcMar>
          </w:tcPr>
          <w:p>
            <w:pPr>
              <w:spacing w:before="0" w:after="0" w:line="230" w:lineRule="auto"/>
            </w:pPr>
            <w:r>
              <w:rPr>
                <w:rFonts w:ascii="Consolas" w:hAnsi="Consolas"/>
                <w:color w:val="9CAF88"/>
                <w:sz w:val="16"/>
              </w:rPr>
              <w:t xml:space="preserve">// PER TICK (cheap):</w:t>
            </w:r>
          </w:p>
          <w:p>
            <w:pPr>
              <w:spacing w:before="0" w:after="0" w:line="230" w:lineRule="auto"/>
            </w:pPr>
            <w:r>
              <w:rPr>
                <w:rFonts w:ascii="Consolas" w:hAnsi="Consolas"/>
                <w:color w:val="ECEFF1"/>
                <w:sz w:val="16"/>
              </w:rPr>
              <w:t xml:space="preserve">orderbook.Update()        // spread, tape speed, synthetic-flow capture, OFI</w:t>
            </w:r>
          </w:p>
          <w:p>
            <w:pPr>
              <w:spacing w:before="0" w:after="0" w:line="230" w:lineRule="auto"/>
            </w:pPr>
            <w:r>
              <w:rPr>
                <w:rFonts w:ascii="Consolas" w:hAnsi="Consolas"/>
                <w:color w:val="ECEFF1"/>
                <w:sz w:val="16"/>
              </w:rPr>
              <w:t xml:space="preserve">deltaflow.Update()        // live-bar tick-rule delta accumulation</w:t>
            </w:r>
          </w:p>
          <w:p>
            <w:pPr>
              <w:spacing w:before="0" w:after="0" w:line="230" w:lineRule="auto"/>
            </w:pPr>
            <w:r>
              <w:rPr>
                <w:rFonts w:ascii="Consolas" w:hAnsi="Consolas"/>
                <w:color w:val="ECEFF1"/>
                <w:sz w:val="16"/>
              </w:rPr>
              <w:t xml:space="preserve">regime.Update()           // time gates only (sessions, news, rollover)</w:t>
            </w:r>
          </w:p>
          <w:p>
            <w:pPr>
              <w:spacing w:before="0" w:after="0" w:line="230" w:lineRule="auto"/>
            </w:pPr>
            <w:r>
              <w:rPr>
                <w:rFonts w:ascii="Consolas" w:hAnsi="Consolas"/>
                <w:color w:val="ECEFF1"/>
                <w:sz w:val="16"/>
              </w:rPr>
              <w:t xml:space="preserve">risk.Update()             // equity track, halt checks, day rollover</w:t>
            </w:r>
          </w:p>
          <w:p>
            <w:pPr>
              <w:spacing w:before="0" w:after="0" w:line="230" w:lineRule="auto"/>
            </w:pPr>
            <w:r>
              <w:rPr>
                <w:rFonts w:ascii="Consolas" w:hAnsi="Consolas"/>
                <w:color w:val="ECEFF1"/>
                <w:sz w:val="16"/>
              </w:rPr>
              <w:t xml:space="preserve">IF risk.Halted: executor.CloseAll(reason); RETURN</w:t>
            </w:r>
          </w:p>
          <w:p>
            <w:pPr>
              <w:spacing w:before="0" w:after="0" w:line="230" w:lineRule="auto"/>
            </w:pPr>
            <w:r>
              <w:rPr>
                <w:rFonts w:ascii="Consolas" w:hAnsi="Consolas"/>
                <w:color w:val="ECEFF1"/>
                <w:sz w:val="16"/>
              </w:rPr>
              <w:t xml:space="preserve">executor.Manage(atr)      // partials, break-even, trail, time-stop</w:t>
            </w:r>
          </w:p>
          <w:p>
            <w:pPr>
              <w:spacing w:before="0" w:after="0" w:line="230" w:lineRule="auto"/>
            </w:pPr>
            <w:r>
              <w:rPr>
                <w:rFonts w:ascii="Consolas" w:hAnsi="Consolas"/>
                <w:color w:val="ECEFF1"/>
                <w:sz w:val="16"/>
              </w:rPr>
              <w:t xml:space="preserve"> </w:t>
            </w:r>
          </w:p>
          <w:p>
            <w:pPr>
              <w:spacing w:before="0" w:after="0" w:line="230" w:lineRule="auto"/>
            </w:pPr>
            <w:r>
              <w:rPr>
                <w:rFonts w:ascii="Consolas" w:hAnsi="Consolas"/>
                <w:color w:val="9CAF88"/>
                <w:sz w:val="16"/>
              </w:rPr>
              <w:t xml:space="preserve">// PER NEW M5 BAR (heavy, once):</w:t>
            </w:r>
          </w:p>
          <w:p>
            <w:pPr>
              <w:spacing w:before="0" w:after="0" w:line="230" w:lineRule="auto"/>
            </w:pPr>
            <w:r>
              <w:rPr>
                <w:rFonts w:ascii="Consolas" w:hAnsi="Consolas"/>
                <w:color w:val="ECEFF1"/>
                <w:sz w:val="16"/>
              </w:rPr>
              <w:t xml:space="preserve">moneyflow.Update(); profile.Update(); vwap.Update(); structure.Update(); amd.Update()</w:t>
            </w:r>
          </w:p>
          <w:p>
            <w:pPr>
              <w:spacing w:before="0" w:after="0" w:line="230" w:lineRule="auto"/>
            </w:pPr>
            <w:r>
              <w:rPr>
                <w:rFonts w:ascii="Consolas" w:hAnsi="Consolas"/>
                <w:color w:val="ECEFF1"/>
                <w:sz w:val="16"/>
              </w:rPr>
              <w:t xml:space="preserve">sig = engine.Evaluate()   // 8-group confluence score, adaptive threshold</w:t>
            </w:r>
          </w:p>
          <w:p>
            <w:pPr>
              <w:spacing w:before="0" w:after="0" w:line="230" w:lineRule="auto"/>
            </w:pPr>
            <w:r>
              <w:rPr>
                <w:rFonts w:ascii="Consolas" w:hAnsi="Consolas"/>
                <w:color w:val="ECEFF1"/>
                <w:sz w:val="16"/>
              </w:rPr>
              <w:t xml:space="preserve">IF sig.valid AND mode allows trading AND regime.AllowedNow AND risk.CanOpen:</w:t>
            </w:r>
          </w:p>
          <w:p>
            <w:pPr>
              <w:spacing w:before="0" w:after="0" w:line="230" w:lineRule="auto"/>
            </w:pPr>
            <w:r>
              <w:rPr>
                <w:rFonts w:ascii="Consolas" w:hAnsi="Consolas"/>
                <w:color w:val="ECEFF1"/>
                <w:sz w:val="16"/>
              </w:rPr>
              <w:t xml:space="preserve">    lots = risk.CalcLot(sig.entry, sig.sl)</w:t>
            </w:r>
          </w:p>
          <w:p>
            <w:pPr>
              <w:spacing w:before="0" w:after="0" w:line="230" w:lineRule="auto"/>
            </w:pPr>
            <w:r>
              <w:rPr>
                <w:rFonts w:ascii="Consolas" w:hAnsi="Consolas"/>
                <w:color w:val="ECEFF1"/>
                <w:sz w:val="16"/>
              </w:rPr>
              <w:t xml:space="preserve">    executor.Execute(sig, lots); risk.NotifyOpened()</w:t>
            </w:r>
          </w:p>
          <w:p>
            <w:pPr>
              <w:spacing w:before="0" w:after="0" w:line="230" w:lineRule="auto"/>
            </w:pPr>
            <w:r>
              <w:rPr>
                <w:rFonts w:ascii="Consolas" w:hAnsi="Consolas"/>
                <w:color w:val="ECEFF1"/>
                <w:sz w:val="16"/>
              </w:rPr>
              <w:t xml:space="preserve">IF sig.valid AND mode allows relay:</w:t>
            </w:r>
          </w:p>
          <w:p>
            <w:pPr>
              <w:spacing w:before="0" w:after="0" w:line="230" w:lineRule="auto"/>
            </w:pPr>
            <w:r>
              <w:rPr>
                <w:rFonts w:ascii="Consolas" w:hAnsi="Consolas"/>
                <w:color w:val="ECEFF1"/>
                <w:sz w:val="16"/>
              </w:rPr>
              <w:t xml:space="preserve">    relay.Emit(sig)       // JSON + CSV + push</w:t>
            </w:r>
          </w:p>
          <w:p>
            <w:pPr>
              <w:spacing w:before="0" w:after="0" w:line="230" w:lineRule="auto"/>
            </w:pPr>
            <w:r>
              <w:rPr>
                <w:rFonts w:ascii="Consolas" w:hAnsi="Consolas"/>
                <w:color w:val="ECEFF1"/>
                <w:sz w:val="16"/>
              </w:rPr>
              <w:t xml:space="preserve"> </w:t>
            </w:r>
          </w:p>
          <w:p>
            <w:pPr>
              <w:spacing w:before="0" w:after="0" w:line="230" w:lineRule="auto"/>
            </w:pPr>
            <w:r>
              <w:rPr>
                <w:rFonts w:ascii="Consolas" w:hAnsi="Consolas"/>
                <w:color w:val="9CAF88"/>
                <w:sz w:val="16"/>
              </w:rPr>
              <w:t xml:space="preserve">// EVENTS:</w:t>
            </w:r>
          </w:p>
          <w:p>
            <w:pPr>
              <w:spacing w:before="0" w:after="0" w:line="230" w:lineRule="auto"/>
            </w:pPr>
            <w:r>
              <w:rPr>
                <w:rFonts w:ascii="Consolas" w:hAnsi="Consolas"/>
                <w:color w:val="ECEFF1"/>
                <w:sz w:val="16"/>
              </w:rPr>
              <w:t xml:space="preserve">OnBookEvent -&gt; orderbook.OnBookEvent   // native DOM snapshot (tier 2)</w:t>
            </w:r>
          </w:p>
          <w:p>
            <w:pPr>
              <w:spacing w:before="0" w:after="0" w:line="230" w:lineRule="auto"/>
            </w:pPr>
            <w:r>
              <w:rPr>
                <w:rFonts w:ascii="Consolas" w:hAnsi="Consolas"/>
                <w:color w:val="ECEFF1"/>
                <w:sz w:val="16"/>
              </w:rPr>
              <w:t xml:space="preserve">OnTradeTransaction(DEAL_ENTRY_OUT) -&gt; risk.NotifyClosedDeal(profit)</w:t>
            </w:r>
          </w:p>
          <w:p>
            <w:pPr>
              <w:spacing w:before="0" w:after="0" w:line="230" w:lineRule="auto"/>
            </w:pPr>
            <w:r>
              <w:rPr>
                <w:rFonts w:ascii="Consolas" w:hAnsi="Consolas"/>
                <w:color w:val="ECEFF1"/>
                <w:sz w:val="16"/>
              </w:rPr>
              <w:t xml:space="preserve">OnDeinit -&gt; risk.Persist(); orderbook.Deinit()</w:t>
            </w:r>
          </w:p>
        </w:tc>
      </w:tr>
    </w:tbl>
    <w:p>
      <w:pPr>
        <w:pStyle w:val="Caption"/>
      </w:pPr>
      <w:r>
        <w:t>Figure 1 — processing pipeline: cheap per-tick path, heavy per-bar path, hard risk override.</w:t>
      </w:r>
    </w:p>
    <w:p>
      <w:pPr>
        <w:pStyle w:val="Heading1"/>
      </w:pPr>
      <w:r>
        <w:t>03. MARKET DATA FOUNDATION</w:t>
      </w:r>
      <w:bookmarkStart w:name="_T5" w:id="5"/>
      <w:bookmarkEnd w:id="5"/>
    </w:p>
    <w:p>
      <w:pPr>
        <w:pStyle w:val="Heading2"/>
      </w:pPr>
      <w:r>
        <w:t>3.1 Symbol &amp; Feed Model</w:t>
      </w:r>
    </w:p>
    <w:p>
      <w:r>
        <w:t>The EA attaches to any NAS100-family chart. A symbol resolver tries the chart symbol first, then a configurable alias list (NAS100, US100, USTEC, NASDAQ, NQ100, NDX). All analytics read M5 bars of the resolved symbol regardless of chart timeframe, so behaviour is identical on any attached chart.</w:t>
      </w:r>
    </w:p>
    <w:tbl>
      <w:tblPr>
        <w:tblW w:w="5000" w:type="pct"/>
        <w:tblBorders>
          <w:top w:val="single" w:color="B8860B" w:sz="12"/>
          <w:bottom w:val="single" w:color="B8860B" w:sz="12"/>
          <w:insideH w:val="single" w:color="CFD8DC" w:sz="4"/>
          <w:insideV w:val="single" w:color="CFD8DC" w:sz="4"/>
        </w:tblBorders>
      </w:tblPr>
      <w:tblGrid>
        <w:gridCol w:w="3000"/>
        <w:gridCol w:w="6300"/>
      </w:tblGrid>
      <w:tr>
        <w:trPr>
          <w:tblHeader/>
        </w:trPr>
        <w:tc>
          <w:tcPr>
            <w:tcW w:w="3000" w:type="dxa"/>
            <w:shd w:val="clear" w:fill="ECEFF1"/>
            <w:tcMar>
              <w:top w:w="60" w:type="dxa"/>
              <w:left w:w="100" w:type="dxa"/>
              <w:bottom w:w="60" w:type="dxa"/>
              <w:right w:w="100" w:type="dxa"/>
            </w:tcMar>
          </w:tcPr>
          <w:p>
            <w:pPr>
              <w:spacing w:before="20" w:after="20" w:line="240" w:lineRule="auto"/>
              <w:jc w:val="left"/>
            </w:pPr>
            <w:r>
              <w:rPr>
                <w:b/>
                <w:color w:val="263238"/>
                <w:sz w:val="18"/>
              </w:rPr>
              <w:t>DATA</w:t>
            </w:r>
          </w:p>
        </w:tc>
        <w:tc>
          <w:tcPr>
            <w:tcW w:w="6300" w:type="dxa"/>
            <w:shd w:val="clear" w:fill="ECEFF1"/>
            <w:tcMar>
              <w:top w:w="60" w:type="dxa"/>
              <w:left w:w="100" w:type="dxa"/>
              <w:bottom w:w="60" w:type="dxa"/>
              <w:right w:w="100" w:type="dxa"/>
            </w:tcMar>
          </w:tcPr>
          <w:p>
            <w:pPr>
              <w:spacing w:before="20" w:after="20" w:line="240" w:lineRule="auto"/>
              <w:jc w:val="left"/>
            </w:pPr>
            <w:r>
              <w:rPr>
                <w:b/>
                <w:color w:val="263238"/>
                <w:sz w:val="18"/>
              </w:rPr>
              <w:t>SOURCE &amp; FALLBACK</w:t>
            </w:r>
          </w:p>
        </w:tc>
      </w:tr>
      <w:tr>
        <w:tc>
          <w:tcPr>
            <w:tcW w:w="3000" w:type="dxa"/>
            <w:tcMar>
              <w:top w:w="60" w:type="dxa"/>
              <w:left w:w="100" w:type="dxa"/>
              <w:bottom w:w="60" w:type="dxa"/>
              <w:right w:w="100" w:type="dxa"/>
            </w:tcMar>
          </w:tcPr>
          <w:p>
            <w:pPr>
              <w:spacing w:before="20" w:after="20" w:line="240" w:lineRule="auto"/>
              <w:jc w:val="left"/>
            </w:pPr>
            <w:r>
              <w:rPr>
                <w:color w:val="37474F"/>
                <w:sz w:val="18"/>
              </w:rPr>
              <w:t>OHLC + tick volume</w:t>
            </w:r>
          </w:p>
        </w:tc>
        <w:tc>
          <w:tcPr>
            <w:tcW w:w="6300" w:type="dxa"/>
            <w:tcMar>
              <w:top w:w="60" w:type="dxa"/>
              <w:left w:w="100" w:type="dxa"/>
              <w:bottom w:w="60" w:type="dxa"/>
              <w:right w:w="100" w:type="dxa"/>
            </w:tcMar>
          </w:tcPr>
          <w:p>
            <w:pPr>
              <w:spacing w:before="20" w:after="20" w:line="240" w:lineRule="auto"/>
              <w:jc w:val="left"/>
            </w:pPr>
            <w:r>
              <w:rPr>
                <w:color w:val="37474F"/>
                <w:sz w:val="18"/>
              </w:rPr>
              <w:t>M5 CopyRates — always present; the canonical input for all modules</w:t>
            </w:r>
          </w:p>
        </w:tc>
      </w:tr>
      <w:tr>
        <w:tc>
          <w:tcPr>
            <w:tcW w:w="3000" w:type="dxa"/>
            <w:tcMar>
              <w:top w:w="60" w:type="dxa"/>
              <w:left w:w="100" w:type="dxa"/>
              <w:bottom w:w="60" w:type="dxa"/>
              <w:right w:w="100" w:type="dxa"/>
            </w:tcMar>
          </w:tcPr>
          <w:p>
            <w:pPr>
              <w:spacing w:before="20" w:after="20" w:line="240" w:lineRule="auto"/>
              <w:jc w:val="left"/>
            </w:pPr>
            <w:r>
              <w:rPr>
                <w:color w:val="37474F"/>
                <w:sz w:val="18"/>
              </w:rPr>
              <w:t>Real volume</w:t>
            </w:r>
          </w:p>
        </w:tc>
        <w:tc>
          <w:tcPr>
            <w:tcW w:w="6300" w:type="dxa"/>
            <w:tcMar>
              <w:top w:w="60" w:type="dxa"/>
              <w:left w:w="100" w:type="dxa"/>
              <w:bottom w:w="60" w:type="dxa"/>
              <w:right w:w="100" w:type="dxa"/>
            </w:tcMar>
          </w:tcPr>
          <w:p>
            <w:pPr>
              <w:spacing w:before="20" w:after="20" w:line="240" w:lineRule="auto"/>
              <w:jc w:val="left"/>
            </w:pPr>
            <w:r>
              <w:rPr>
                <w:color w:val="37474F"/>
                <w:sz w:val="18"/>
              </w:rPr>
              <w:t>CopyRealVolume probed once at init; used where the feed provides it (futures-routed brokers), tick volume otherwise (~90% correlation proxy on index products)</w:t>
            </w:r>
          </w:p>
        </w:tc>
      </w:tr>
      <w:tr>
        <w:tc>
          <w:tcPr>
            <w:tcW w:w="3000" w:type="dxa"/>
            <w:tcMar>
              <w:top w:w="60" w:type="dxa"/>
              <w:left w:w="100" w:type="dxa"/>
              <w:bottom w:w="60" w:type="dxa"/>
              <w:right w:w="100" w:type="dxa"/>
            </w:tcMar>
          </w:tcPr>
          <w:p>
            <w:pPr>
              <w:spacing w:before="20" w:after="20" w:line="240" w:lineRule="auto"/>
              <w:jc w:val="left"/>
            </w:pPr>
            <w:r>
              <w:rPr>
                <w:color w:val="37474F"/>
                <w:sz w:val="18"/>
              </w:rPr>
              <w:t>Tick stream</w:t>
            </w:r>
          </w:p>
        </w:tc>
        <w:tc>
          <w:tcPr>
            <w:tcW w:w="6300" w:type="dxa"/>
            <w:tcMar>
              <w:top w:w="60" w:type="dxa"/>
              <w:left w:w="100" w:type="dxa"/>
              <w:bottom w:w="60" w:type="dxa"/>
              <w:right w:w="100" w:type="dxa"/>
            </w:tcMar>
          </w:tcPr>
          <w:p>
            <w:pPr>
              <w:spacing w:before="20" w:after="20" w:line="240" w:lineRule="auto"/>
              <w:jc w:val="left"/>
            </w:pPr>
            <w:r>
              <w:rPr>
                <w:color w:val="37474F"/>
                <w:sz w:val="18"/>
              </w:rPr>
              <w:t>SymbolInfoTick per tick — powers live-bar delta, synthetic ladder, OFI, tape speed</w:t>
            </w:r>
          </w:p>
        </w:tc>
      </w:tr>
      <w:tr>
        <w:tc>
          <w:tcPr>
            <w:tcW w:w="3000" w:type="dxa"/>
            <w:tcMar>
              <w:top w:w="60" w:type="dxa"/>
              <w:left w:w="100" w:type="dxa"/>
              <w:bottom w:w="60" w:type="dxa"/>
              <w:right w:w="100" w:type="dxa"/>
            </w:tcMar>
          </w:tcPr>
          <w:p>
            <w:pPr>
              <w:spacing w:before="20" w:after="20" w:line="240" w:lineRule="auto"/>
              <w:jc w:val="left"/>
            </w:pPr>
            <w:r>
              <w:rPr>
                <w:color w:val="37474F"/>
                <w:sz w:val="18"/>
              </w:rPr>
              <w:t>Depth of market</w:t>
            </w:r>
          </w:p>
        </w:tc>
        <w:tc>
          <w:tcPr>
            <w:tcW w:w="6300" w:type="dxa"/>
            <w:tcMar>
              <w:top w:w="60" w:type="dxa"/>
              <w:left w:w="100" w:type="dxa"/>
              <w:bottom w:w="60" w:type="dxa"/>
              <w:right w:w="100" w:type="dxa"/>
            </w:tcMar>
          </w:tcPr>
          <w:p>
            <w:pPr>
              <w:spacing w:before="20" w:after="20" w:line="240" w:lineRule="auto"/>
              <w:jc w:val="left"/>
            </w:pPr>
            <w:r>
              <w:rPr>
                <w:color w:val="37474F"/>
                <w:sz w:val="18"/>
              </w:rPr>
              <w:t>MarketBookAdd/Get — top tier of the order book when the broker publishes it; gracefully absent otherwise</w:t>
            </w:r>
          </w:p>
        </w:tc>
      </w:tr>
      <w:tr>
        <w:tc>
          <w:tcPr>
            <w:tcW w:w="3000" w:type="dxa"/>
            <w:tcMar>
              <w:top w:w="60" w:type="dxa"/>
              <w:left w:w="100" w:type="dxa"/>
              <w:bottom w:w="60" w:type="dxa"/>
              <w:right w:w="100" w:type="dxa"/>
            </w:tcMar>
          </w:tcPr>
          <w:p>
            <w:pPr>
              <w:spacing w:before="20" w:after="20" w:line="240" w:lineRule="auto"/>
              <w:jc w:val="left"/>
            </w:pPr>
            <w:r>
              <w:rPr>
                <w:color w:val="37474F"/>
                <w:sz w:val="18"/>
              </w:rPr>
              <w:t>Account/equity</w:t>
            </w:r>
          </w:p>
        </w:tc>
        <w:tc>
          <w:tcPr>
            <w:tcW w:w="6300" w:type="dxa"/>
            <w:tcMar>
              <w:top w:w="60" w:type="dxa"/>
              <w:left w:w="100" w:type="dxa"/>
              <w:bottom w:w="60" w:type="dxa"/>
              <w:right w:w="100" w:type="dxa"/>
            </w:tcMar>
          </w:tcPr>
          <w:p>
            <w:pPr>
              <w:spacing w:before="20" w:after="20" w:line="240" w:lineRule="auto"/>
              <w:jc w:val="left"/>
            </w:pPr>
            <w:r>
              <w:rPr>
                <w:color w:val="37474F"/>
                <w:sz w:val="18"/>
              </w:rPr>
              <w:t>AccountInfo* — risk manager only</w:t>
            </w:r>
          </w:p>
        </w:tc>
      </w:tr>
    </w:tbl>
    <w:p>
      <w:pPr>
        <w:pStyle w:val="Heading2"/>
      </w:pPr>
      <w:r>
        <w:t>3.2 Time, Sessions &amp; Market Quarters</w:t>
      </w:r>
    </w:p>
    <w:p>
      <w:r>
        <w:t>Server time is converted to GMT via a configurable offset (EET brokers: +2 winter / +3 summer). Sessions are defined on GMT: Asia 00–07, London 07–12, Overlap 12–16, New York 16–21, Off-hours otherwise. Market quarters follow calendar quarters (Jan/Apr/Jul/Oct anchors); quarter progress (0–1) is computed from day-of-quarter. Broker rollover (±5 min around server midnight) and configurable news windows are hard time gates.</w:t>
      </w:r>
    </w:p>
    <w:p>
      <w:pPr>
        <w:pStyle w:val="Heading2"/>
      </w:pPr>
      <w:r>
        <w:t>3.3 Volume Realities on CFD Feeds</w:t>
      </w:r>
    </w:p>
    <w:p>
      <w:r>
        <w:t>Three honest approximations are specified, each documented in its module: (1) historical bar delta is estimated from close-location-in-range blended with bar direction, while the live bar accumulates true tick-rule delta; (2) volume profile distributes each bar's volume uniformly across its high-low span — deterministic, unbiased; (3) where no DOM exists, the synthetic ladder measures aggressive traded flow rather than resting limit orders — the same information footprint charts are built from. None of these approximations is hidden from the scoring engine: tiers and confidence are explicit inputs to group weights.</w:t>
      </w:r>
    </w:p>
    <w:p>
      <w:pPr>
        <w:pStyle w:val="Heading1"/>
      </w:pPr>
      <w:r>
        <w:t>04. DELTA FLOW ENGINE</w:t>
      </w:r>
      <w:bookmarkStart w:name="_T6" w:id="6"/>
      <w:bookmarkEnd w:id="6"/>
    </w:p>
    <w:p>
      <w:pPr>
        <w:spacing w:after="240"/>
      </w:pPr>
      <w:r>
        <w:rPr>
          <w:i/>
          <w:color w:val="546E7A"/>
        </w:rPr>
        <w:t>Question answered: who is winning inside each bar — aggressive buyers or aggressive sellers — and is that pressure confirming or betraying the price move?</w:t>
      </w:r>
    </w:p>
    <w:tbl>
      <w:tblPr>
        <w:tblW w:w="5000" w:type="pct"/>
        <w:tblBorders>
          <w:top w:val="single" w:color="B8860B" w:sz="12"/>
          <w:bottom w:val="single" w:color="B8860B" w:sz="12"/>
          <w:insideH w:val="single" w:color="CFD8DC" w:sz="4"/>
          <w:insideV w:val="single" w:color="CFD8DC" w:sz="4"/>
        </w:tblBorders>
      </w:tblPr>
      <w:tblGrid>
        <w:gridCol w:w="2000"/>
        <w:gridCol w:w="7300"/>
      </w:tblGrid>
      <w:tr>
        <w:trPr>
          <w:tblHeader/>
        </w:trPr>
        <w:tc>
          <w:tcPr>
            <w:tcW w:w="2000" w:type="dxa"/>
            <w:shd w:val="clear" w:fill="ECEFF1"/>
            <w:tcMar>
              <w:top w:w="60" w:type="dxa"/>
              <w:left w:w="100" w:type="dxa"/>
              <w:bottom w:w="60" w:type="dxa"/>
              <w:right w:w="100" w:type="dxa"/>
            </w:tcMar>
          </w:tcPr>
          <w:p>
            <w:pPr>
              <w:spacing w:before="20" w:after="20" w:line="240" w:lineRule="auto"/>
              <w:jc w:val="left"/>
            </w:pPr>
            <w:r>
              <w:rPr>
                <w:b/>
                <w:color w:val="263238"/>
                <w:sz w:val="18"/>
              </w:rPr>
              <w:t>CONTRACT</w:t>
            </w:r>
          </w:p>
        </w:tc>
        <w:tc>
          <w:tcPr>
            <w:tcW w:w="7300" w:type="dxa"/>
            <w:shd w:val="clear" w:fill="ECEFF1"/>
            <w:tcMar>
              <w:top w:w="60" w:type="dxa"/>
              <w:left w:w="100" w:type="dxa"/>
              <w:bottom w:w="60" w:type="dxa"/>
              <w:right w:w="100" w:type="dxa"/>
            </w:tcMar>
          </w:tcPr>
          <w:p>
            <w:pPr>
              <w:spacing w:before="20" w:after="20" w:line="240" w:lineRule="auto"/>
              <w:jc w:val="left"/>
            </w:pPr>
            <w:r>
              <w:rPr>
                <w:b/>
                <w:color w:val="263238"/>
                <w:sz w:val="18"/>
              </w:rPr>
              <w:t>DETAIL</w:t>
            </w:r>
          </w:p>
        </w:tc>
      </w:tr>
      <w:tr>
        <w:tc>
          <w:tcPr>
            <w:tcW w:w="2000" w:type="dxa"/>
            <w:tcMar>
              <w:top w:w="60" w:type="dxa"/>
              <w:left w:w="100" w:type="dxa"/>
              <w:bottom w:w="60" w:type="dxa"/>
              <w:right w:w="100" w:type="dxa"/>
            </w:tcMar>
          </w:tcPr>
          <w:p>
            <w:pPr>
              <w:spacing w:before="20" w:after="20" w:line="240" w:lineRule="auto"/>
              <w:jc w:val="left"/>
            </w:pPr>
            <w:r>
              <w:rPr>
                <w:color w:val="37474F"/>
                <w:sz w:val="18"/>
              </w:rPr>
              <w:t>Inputs</w:t>
            </w:r>
          </w:p>
        </w:tc>
        <w:tc>
          <w:tcPr>
            <w:tcW w:w="7300" w:type="dxa"/>
            <w:tcMar>
              <w:top w:w="60" w:type="dxa"/>
              <w:left w:w="100" w:type="dxa"/>
              <w:bottom w:w="60" w:type="dxa"/>
              <w:right w:w="100" w:type="dxa"/>
            </w:tcMar>
          </w:tcPr>
          <w:p>
            <w:pPr>
              <w:spacing w:before="20" w:after="20" w:line="240" w:lineRule="auto"/>
              <w:jc w:val="left"/>
            </w:pPr>
            <w:r>
              <w:rPr>
                <w:color w:val="37474F"/>
                <w:sz w:val="18"/>
              </w:rPr>
              <w:t>M5 OHLCV bars; live tick stream (forming bar)</w:t>
            </w:r>
          </w:p>
        </w:tc>
      </w:tr>
      <w:tr>
        <w:tc>
          <w:tcPr>
            <w:tcW w:w="2000" w:type="dxa"/>
            <w:tcMar>
              <w:top w:w="60" w:type="dxa"/>
              <w:left w:w="100" w:type="dxa"/>
              <w:bottom w:w="60" w:type="dxa"/>
              <w:right w:w="100" w:type="dxa"/>
            </w:tcMar>
          </w:tcPr>
          <w:p>
            <w:pPr>
              <w:spacing w:before="20" w:after="20" w:line="240" w:lineRule="auto"/>
              <w:jc w:val="left"/>
            </w:pPr>
            <w:r>
              <w:rPr>
                <w:color w:val="37474F"/>
                <w:sz w:val="18"/>
              </w:rPr>
              <w:t>Outputs</w:t>
            </w:r>
          </w:p>
        </w:tc>
        <w:tc>
          <w:tcPr>
            <w:tcW w:w="7300" w:type="dxa"/>
            <w:tcMar>
              <w:top w:w="60" w:type="dxa"/>
              <w:left w:w="100" w:type="dxa"/>
              <w:bottom w:w="60" w:type="dxa"/>
              <w:right w:w="100" w:type="dxa"/>
            </w:tcMar>
          </w:tcPr>
          <w:p>
            <w:pPr>
              <w:spacing w:before="20" w:after="20" w:line="240" w:lineRule="auto"/>
              <w:jc w:val="left"/>
            </w:pPr>
            <w:r>
              <w:rPr>
                <w:color w:val="37474F"/>
                <w:sz w:val="18"/>
              </w:rPr>
              <w:t>Delta(shift), BuyVol/SellVol(shift), Pressure(shift) in -1..1, CumDelta (session), CumDeltaSlope(bars), Bullish/BearishDivergence, DeltaFlipUp/Down</w:t>
            </w:r>
          </w:p>
        </w:tc>
      </w:tr>
      <w:tr>
        <w:tc>
          <w:tcPr>
            <w:tcW w:w="2000" w:type="dxa"/>
            <w:tcMar>
              <w:top w:w="60" w:type="dxa"/>
              <w:left w:w="100" w:type="dxa"/>
              <w:bottom w:w="60" w:type="dxa"/>
              <w:right w:w="100" w:type="dxa"/>
            </w:tcMar>
          </w:tcPr>
          <w:p>
            <w:pPr>
              <w:spacing w:before="20" w:after="20" w:line="240" w:lineRule="auto"/>
              <w:jc w:val="left"/>
            </w:pPr>
            <w:r>
              <w:rPr>
                <w:color w:val="37474F"/>
                <w:sz w:val="18"/>
              </w:rPr>
              <w:t>Config</w:t>
            </w:r>
          </w:p>
        </w:tc>
        <w:tc>
          <w:tcPr>
            <w:tcW w:w="7300" w:type="dxa"/>
            <w:tcMar>
              <w:top w:w="60" w:type="dxa"/>
              <w:left w:w="100" w:type="dxa"/>
              <w:bottom w:w="60" w:type="dxa"/>
              <w:right w:w="100" w:type="dxa"/>
            </w:tcMar>
          </w:tcPr>
          <w:p>
            <w:pPr>
              <w:spacing w:before="20" w:after="20" w:line="240" w:lineRule="auto"/>
              <w:jc w:val="left"/>
            </w:pPr>
            <w:r>
              <w:rPr>
                <w:color w:val="37474F"/>
                <w:sz w:val="18"/>
              </w:rPr>
              <w:t>DivergenceLookback (30)</w:t>
            </w:r>
          </w:p>
        </w:tc>
      </w:tr>
      <w:tr>
        <w:tc>
          <w:tcPr>
            <w:tcW w:w="2000" w:type="dxa"/>
            <w:tcMar>
              <w:top w:w="60" w:type="dxa"/>
              <w:left w:w="100" w:type="dxa"/>
              <w:bottom w:w="60" w:type="dxa"/>
              <w:right w:w="100" w:type="dxa"/>
            </w:tcMar>
          </w:tcPr>
          <w:p>
            <w:pPr>
              <w:spacing w:before="20" w:after="20" w:line="240" w:lineRule="auto"/>
              <w:jc w:val="left"/>
            </w:pPr>
            <w:r>
              <w:rPr>
                <w:color w:val="37474F"/>
                <w:sz w:val="18"/>
              </w:rPr>
              <w:t>Used by</w:t>
            </w:r>
          </w:p>
        </w:tc>
        <w:tc>
          <w:tcPr>
            <w:tcW w:w="7300" w:type="dxa"/>
            <w:tcMar>
              <w:top w:w="60" w:type="dxa"/>
              <w:left w:w="100" w:type="dxa"/>
              <w:bottom w:w="60" w:type="dxa"/>
              <w:right w:w="100" w:type="dxa"/>
            </w:tcMar>
          </w:tcPr>
          <w:p>
            <w:pPr>
              <w:spacing w:before="20" w:after="20" w:line="240" w:lineRule="auto"/>
              <w:jc w:val="left"/>
            </w:pPr>
            <w:r>
              <w:rPr>
                <w:color w:val="37474F"/>
                <w:sz w:val="18"/>
              </w:rPr>
              <w:t>SignalEngine group 2 (weight 15); AMDTracker</w:t>
            </w:r>
          </w:p>
        </w:tc>
      </w:tr>
    </w:tbl>
    <w:tbl>
      <w:tblPr>
        <w:tblW w:w="5000" w:type="pct"/>
        <w:tblBorders>
          <w:top w:val="single" w:color="B8860B" w:sz="6"/>
          <w:left w:val="single" w:color="B8860B" w:sz="6"/>
          <w:bottom w:val="single" w:color="B8860B" w:sz="6"/>
          <w:right w:val="single" w:color="B8860B" w:sz="6"/>
        </w:tblBorders>
      </w:tblPr>
      <w:tblGrid>
        <w:gridCol w:w="9300"/>
      </w:tblGrid>
      <w:tr>
        <w:tc>
          <w:tcPr>
            <w:tcW w:w="9300" w:type="dxa"/>
            <w:shd w:val="clear" w:fill="1C262B"/>
            <w:tcMar>
              <w:top w:w="80" w:type="dxa"/>
              <w:left w:w="160" w:type="dxa"/>
              <w:bottom w:w="80" w:type="dxa"/>
            </w:tcMar>
          </w:tcPr>
          <w:p>
            <w:r>
              <w:rPr>
                <w:rFonts w:ascii="Consolas" w:hAnsi="Consolas"/>
                <w:b/>
                <w:color w:val="D4AF37"/>
                <w:sz w:val="17"/>
              </w:rPr>
              <w:t>DELTA FLOW — pseudo-code</w:t>
            </w:r>
          </w:p>
        </w:tc>
      </w:tr>
      <w:tr>
        <w:tc>
          <w:tcPr>
            <w:tcW w:w="9300" w:type="dxa"/>
            <w:shd w:val="clear" w:fill="263238"/>
            <w:tcMar>
              <w:top w:w="100" w:type="dxa"/>
              <w:left w:w="160" w:type="dxa"/>
              <w:bottom w:w="100" w:type="dxa"/>
              <w:right w:w="100" w:type="dxa"/>
            </w:tcMar>
          </w:tcPr>
          <w:p>
            <w:pPr>
              <w:spacing w:before="0" w:after="0" w:line="230" w:lineRule="auto"/>
            </w:pPr>
            <w:r>
              <w:rPr>
                <w:rFonts w:ascii="Consolas" w:hAnsi="Consolas"/>
                <w:color w:val="ECEFF1"/>
                <w:sz w:val="16"/>
              </w:rPr>
              <w:t xml:space="preserve">ON INIT: cache = ring[420 bars]  // one server day + margin</w:t>
            </w:r>
          </w:p>
          <w:p>
            <w:pPr>
              <w:spacing w:before="0" w:after="0" w:line="230" w:lineRule="auto"/>
            </w:pPr>
            <w:r>
              <w:rPr>
                <w:rFonts w:ascii="Consolas" w:hAnsi="Consolas"/>
                <w:color w:val="ECEFF1"/>
                <w:sz w:val="16"/>
              </w:rPr>
              <w:t xml:space="preserve">ON NEW CLOSED BAR b:</w:t>
            </w:r>
          </w:p>
          <w:p>
            <w:pPr>
              <w:spacing w:before="0" w:after="0" w:line="230" w:lineRule="auto"/>
            </w:pPr>
            <w:r>
              <w:rPr>
                <w:rFonts w:ascii="Consolas" w:hAnsi="Consolas"/>
                <w:color w:val="ECEFF1"/>
                <w:sz w:val="16"/>
              </w:rPr>
              <w:t xml:space="preserve">    range = max(b.high - b.low, eps)</w:t>
            </w:r>
          </w:p>
          <w:p>
            <w:pPr>
              <w:spacing w:before="0" w:after="0" w:line="230" w:lineRule="auto"/>
            </w:pPr>
            <w:r>
              <w:rPr>
                <w:rFonts w:ascii="Consolas" w:hAnsi="Consolas"/>
                <w:color w:val="ECEFF1"/>
                <w:sz w:val="16"/>
              </w:rPr>
              <w:t xml:space="preserve">    share_loc  = clamp((b.close - b.low)/range, 0, 1)   // close-location</w:t>
            </w:r>
          </w:p>
          <w:p>
            <w:pPr>
              <w:spacing w:before="0" w:after="0" w:line="230" w:lineRule="auto"/>
            </w:pPr>
            <w:r>
              <w:rPr>
                <w:rFonts w:ascii="Consolas" w:hAnsi="Consolas"/>
                <w:color w:val="ECEFF1"/>
                <w:sz w:val="16"/>
              </w:rPr>
              <w:t xml:space="preserve">    share_sign = (b.close &gt; b.open) ? 1 : 0             // direction rule</w:t>
            </w:r>
          </w:p>
          <w:p>
            <w:pPr>
              <w:spacing w:before="0" w:after="0" w:line="230" w:lineRule="auto"/>
            </w:pPr>
            <w:r>
              <w:rPr>
                <w:rFonts w:ascii="Consolas" w:hAnsi="Consolas"/>
                <w:color w:val="ECEFF1"/>
                <w:sz w:val="16"/>
              </w:rPr>
              <w:t xml:space="preserve">    buyShare   = 0.5*share_loc + 0.5*share_sign         // documented blend</w:t>
            </w:r>
          </w:p>
          <w:p>
            <w:pPr>
              <w:spacing w:before="0" w:after="0" w:line="230" w:lineRule="auto"/>
            </w:pPr>
            <w:r>
              <w:rPr>
                <w:rFonts w:ascii="Consolas" w:hAnsi="Consolas"/>
                <w:color w:val="ECEFF1"/>
                <w:sz w:val="16"/>
              </w:rPr>
              <w:t xml:space="preserve">    cache[b]   = { buy: buyShare*b.vol, sell: (1-buyShare)*b.vol }</w:t>
            </w:r>
          </w:p>
          <w:p>
            <w:pPr>
              <w:spacing w:before="0" w:after="0" w:line="230" w:lineRule="auto"/>
            </w:pPr>
            <w:r>
              <w:rPr>
                <w:rFonts w:ascii="Consolas" w:hAnsi="Consolas"/>
                <w:color w:val="ECEFF1"/>
                <w:sz w:val="16"/>
              </w:rPr>
              <w:t xml:space="preserve">    IF b is first bar of server day: splice forming-bar real split into cache[1]</w:t>
            </w:r>
          </w:p>
          <w:p>
            <w:pPr>
              <w:spacing w:before="0" w:after="0" w:line="230" w:lineRule="auto"/>
            </w:pPr>
            <w:r>
              <w:rPr>
                <w:rFonts w:ascii="Consolas" w:hAnsi="Consolas"/>
                <w:color w:val="ECEFF1"/>
                <w:sz w:val="16"/>
              </w:rPr>
              <w:t xml:space="preserve">ON TICK (forming bar only):</w:t>
            </w:r>
          </w:p>
          <w:p>
            <w:pPr>
              <w:spacing w:before="0" w:after="0" w:line="230" w:lineRule="auto"/>
            </w:pPr>
            <w:r>
              <w:rPr>
                <w:rFonts w:ascii="Consolas" w:hAnsi="Consolas"/>
                <w:color w:val="ECEFF1"/>
                <w:sz w:val="16"/>
              </w:rPr>
              <w:t xml:space="preserve">    classify tick: price up -&gt; buy, down -&gt; sell, same -&gt; carry last</w:t>
            </w:r>
          </w:p>
          <w:p>
            <w:pPr>
              <w:spacing w:before="0" w:after="0" w:line="230" w:lineRule="auto"/>
            </w:pPr>
            <w:r>
              <w:rPr>
                <w:rFonts w:ascii="Consolas" w:hAnsi="Consolas"/>
                <w:color w:val="ECEFF1"/>
                <w:sz w:val="16"/>
              </w:rPr>
              <w:t xml:space="preserve">    accumulate real buy/sell volumes for bar 0</w:t>
            </w:r>
          </w:p>
          <w:p>
            <w:pPr>
              <w:spacing w:before="0" w:after="0" w:line="230" w:lineRule="auto"/>
            </w:pPr>
            <w:r>
              <w:rPr>
                <w:rFonts w:ascii="Consolas" w:hAnsi="Consolas"/>
                <w:color w:val="ECEFF1"/>
                <w:sz w:val="16"/>
              </w:rPr>
              <w:t xml:space="preserve">CumDelta      = SUM(cache.delta since server 00:00)</w:t>
            </w:r>
          </w:p>
          <w:p>
            <w:pPr>
              <w:spacing w:before="0" w:after="0" w:line="230" w:lineRule="auto"/>
            </w:pPr>
            <w:r>
              <w:rPr>
                <w:rFonts w:ascii="Consolas" w:hAnsi="Consolas"/>
                <w:color w:val="ECEFF1"/>
                <w:sz w:val="16"/>
              </w:rPr>
              <w:t xml:space="preserve">CumDeltaSlope(n) = CumDelta - CumDelta[n bars ago]</w:t>
            </w:r>
          </w:p>
          <w:p>
            <w:pPr>
              <w:spacing w:before="0" w:after="0" w:line="230" w:lineRule="auto"/>
            </w:pPr>
            <w:r>
              <w:rPr>
                <w:rFonts w:ascii="Consolas" w:hAnsi="Consolas"/>
                <w:color w:val="ECEFF1"/>
                <w:sz w:val="16"/>
              </w:rPr>
              <w:t xml:space="preserve">BullishDivergence: last two swing lows of PRICE make lower-low</w:t>
            </w:r>
          </w:p>
          <w:p>
            <w:pPr>
              <w:spacing w:before="0" w:after="0" w:line="230" w:lineRule="auto"/>
            </w:pPr>
            <w:r>
              <w:rPr>
                <w:rFonts w:ascii="Consolas" w:hAnsi="Consolas"/>
                <w:color w:val="ECEFF1"/>
                <w:sz w:val="16"/>
              </w:rPr>
              <w:t xml:space="preserve">                   while delta at those bars makes higher-low</w:t>
            </w:r>
          </w:p>
          <w:p>
            <w:pPr>
              <w:spacing w:before="0" w:after="0" w:line="230" w:lineRule="auto"/>
            </w:pPr>
            <w:r>
              <w:rPr>
                <w:rFonts w:ascii="Consolas" w:hAnsi="Consolas"/>
                <w:color w:val="ECEFF1"/>
                <w:sz w:val="16"/>
              </w:rPr>
              <w:t xml:space="preserve">BearishDivergence: mirror on highs</w:t>
            </w:r>
          </w:p>
          <w:p>
            <w:pPr>
              <w:spacing w:before="0" w:after="0" w:line="230" w:lineRule="auto"/>
            </w:pPr>
            <w:r>
              <w:rPr>
                <w:rFonts w:ascii="Consolas" w:hAnsi="Consolas"/>
                <w:color w:val="ECEFF1"/>
                <w:sz w:val="16"/>
              </w:rPr>
              <w:t xml:space="preserve">DeltaFlipUp:   delta[1] &gt; 0 after &gt;= 3 consecutive bars delta &lt; 0</w:t>
            </w:r>
          </w:p>
          <w:p>
            <w:pPr>
              <w:spacing w:before="0" w:after="0" w:line="230" w:lineRule="auto"/>
            </w:pPr>
            <w:r>
              <w:rPr>
                <w:rFonts w:ascii="Consolas" w:hAnsi="Consolas"/>
                <w:color w:val="ECEFF1"/>
                <w:sz w:val="16"/>
              </w:rPr>
              <w:t xml:space="preserve">DeltaFlipDown: mirror</w:t>
            </w:r>
          </w:p>
        </w:tc>
      </w:tr>
    </w:tbl>
    <w:p>
      <w:pPr>
        <w:pStyle w:val="Heading1"/>
      </w:pPr>
      <w:r>
        <w:t>05. MONEY FLOW ENGINE</w:t>
      </w:r>
      <w:bookmarkStart w:name="_T7" w:id="7"/>
      <w:bookmarkEnd w:id="7"/>
    </w:p>
    <w:p>
      <w:pPr>
        <w:spacing w:after="240"/>
      </w:pPr>
      <w:r>
        <w:rPr>
          <w:i/>
          <w:color w:val="546E7A"/>
        </w:rPr>
        <w:t>Question answered: is capital (price x volume) flowing in or out — and where did the heaviest money transact?</w:t>
      </w:r>
    </w:p>
    <w:tbl>
      <w:tblPr>
        <w:tblW w:w="5000" w:type="pct"/>
        <w:tblBorders>
          <w:top w:val="single" w:color="B8860B" w:sz="12"/>
          <w:bottom w:val="single" w:color="B8860B" w:sz="12"/>
          <w:insideH w:val="single" w:color="CFD8DC" w:sz="4"/>
          <w:insideV w:val="single" w:color="CFD8DC" w:sz="4"/>
        </w:tblBorders>
      </w:tblPr>
      <w:tblGrid>
        <w:gridCol w:w="2000"/>
        <w:gridCol w:w="7300"/>
      </w:tblGrid>
      <w:tr>
        <w:trPr>
          <w:tblHeader/>
        </w:trPr>
        <w:tc>
          <w:tcPr>
            <w:tcW w:w="2000" w:type="dxa"/>
            <w:shd w:val="clear" w:fill="ECEFF1"/>
            <w:tcMar>
              <w:top w:w="60" w:type="dxa"/>
              <w:left w:w="100" w:type="dxa"/>
              <w:bottom w:w="60" w:type="dxa"/>
              <w:right w:w="100" w:type="dxa"/>
            </w:tcMar>
          </w:tcPr>
          <w:p>
            <w:pPr>
              <w:spacing w:before="20" w:after="20" w:line="240" w:lineRule="auto"/>
              <w:jc w:val="left"/>
            </w:pPr>
            <w:r>
              <w:rPr>
                <w:b/>
                <w:color w:val="263238"/>
                <w:sz w:val="18"/>
              </w:rPr>
              <w:t>CONTRACT</w:t>
            </w:r>
          </w:p>
        </w:tc>
        <w:tc>
          <w:tcPr>
            <w:tcW w:w="7300" w:type="dxa"/>
            <w:shd w:val="clear" w:fill="ECEFF1"/>
            <w:tcMar>
              <w:top w:w="60" w:type="dxa"/>
              <w:left w:w="100" w:type="dxa"/>
              <w:bottom w:w="60" w:type="dxa"/>
              <w:right w:w="100" w:type="dxa"/>
            </w:tcMar>
          </w:tcPr>
          <w:p>
            <w:pPr>
              <w:spacing w:before="20" w:after="20" w:line="240" w:lineRule="auto"/>
              <w:jc w:val="left"/>
            </w:pPr>
            <w:r>
              <w:rPr>
                <w:b/>
                <w:color w:val="263238"/>
                <w:sz w:val="18"/>
              </w:rPr>
              <w:t>DETAIL</w:t>
            </w:r>
          </w:p>
        </w:tc>
      </w:tr>
      <w:tr>
        <w:tc>
          <w:tcPr>
            <w:tcW w:w="2000" w:type="dxa"/>
            <w:tcMar>
              <w:top w:w="60" w:type="dxa"/>
              <w:left w:w="100" w:type="dxa"/>
              <w:bottom w:w="60" w:type="dxa"/>
              <w:right w:w="100" w:type="dxa"/>
            </w:tcMar>
          </w:tcPr>
          <w:p>
            <w:pPr>
              <w:spacing w:before="20" w:after="20" w:line="240" w:lineRule="auto"/>
              <w:jc w:val="left"/>
            </w:pPr>
            <w:r>
              <w:rPr>
                <w:color w:val="37474F"/>
                <w:sz w:val="18"/>
              </w:rPr>
              <w:t>Inputs</w:t>
            </w:r>
          </w:p>
        </w:tc>
        <w:tc>
          <w:tcPr>
            <w:tcW w:w="7300" w:type="dxa"/>
            <w:tcMar>
              <w:top w:w="60" w:type="dxa"/>
              <w:left w:w="100" w:type="dxa"/>
              <w:bottom w:w="60" w:type="dxa"/>
              <w:right w:w="100" w:type="dxa"/>
            </w:tcMar>
          </w:tcPr>
          <w:p>
            <w:pPr>
              <w:spacing w:before="20" w:after="20" w:line="240" w:lineRule="auto"/>
              <w:jc w:val="left"/>
            </w:pPr>
            <w:r>
              <w:rPr>
                <w:color w:val="37474F"/>
                <w:sz w:val="18"/>
              </w:rPr>
              <w:t>M5 typical price (H+L+C)/3 x tick volume</w:t>
            </w:r>
          </w:p>
        </w:tc>
      </w:tr>
      <w:tr>
        <w:tc>
          <w:tcPr>
            <w:tcW w:w="2000" w:type="dxa"/>
            <w:tcMar>
              <w:top w:w="60" w:type="dxa"/>
              <w:left w:w="100" w:type="dxa"/>
              <w:bottom w:w="60" w:type="dxa"/>
              <w:right w:w="100" w:type="dxa"/>
            </w:tcMar>
          </w:tcPr>
          <w:p>
            <w:pPr>
              <w:spacing w:before="20" w:after="20" w:line="240" w:lineRule="auto"/>
              <w:jc w:val="left"/>
            </w:pPr>
            <w:r>
              <w:rPr>
                <w:color w:val="37474F"/>
                <w:sz w:val="18"/>
              </w:rPr>
              <w:t>Outputs</w:t>
            </w:r>
          </w:p>
        </w:tc>
        <w:tc>
          <w:tcPr>
            <w:tcW w:w="7300" w:type="dxa"/>
            <w:tcMar>
              <w:top w:w="60" w:type="dxa"/>
              <w:left w:w="100" w:type="dxa"/>
              <w:bottom w:w="60" w:type="dxa"/>
              <w:right w:w="100" w:type="dxa"/>
            </w:tcMar>
          </w:tcPr>
          <w:p>
            <w:pPr>
              <w:spacing w:before="20" w:after="20" w:line="240" w:lineRule="auto"/>
              <w:jc w:val="left"/>
            </w:pPr>
            <w:r>
              <w:rPr>
                <w:color w:val="37474F"/>
                <w:sz w:val="18"/>
              </w:rPr>
              <w:t>MFI(0..100), MoneyRatio, Pressure(shift) -1..1, IsHighTradedNode(price), NodeStrength(price) 0..1, MoneyFlowBullish/Bearish</w:t>
            </w:r>
          </w:p>
        </w:tc>
      </w:tr>
      <w:tr>
        <w:tc>
          <w:tcPr>
            <w:tcW w:w="2000" w:type="dxa"/>
            <w:tcMar>
              <w:top w:w="60" w:type="dxa"/>
              <w:left w:w="100" w:type="dxa"/>
              <w:bottom w:w="60" w:type="dxa"/>
              <w:right w:w="100" w:type="dxa"/>
            </w:tcMar>
          </w:tcPr>
          <w:p>
            <w:pPr>
              <w:spacing w:before="20" w:after="20" w:line="240" w:lineRule="auto"/>
              <w:jc w:val="left"/>
            </w:pPr>
            <w:r>
              <w:rPr>
                <w:color w:val="37474F"/>
                <w:sz w:val="18"/>
              </w:rPr>
              <w:t>Config</w:t>
            </w:r>
          </w:p>
        </w:tc>
        <w:tc>
          <w:tcPr>
            <w:tcW w:w="7300" w:type="dxa"/>
            <w:tcMar>
              <w:top w:w="60" w:type="dxa"/>
              <w:left w:w="100" w:type="dxa"/>
              <w:bottom w:w="60" w:type="dxa"/>
              <w:right w:w="100" w:type="dxa"/>
            </w:tcMar>
          </w:tcPr>
          <w:p>
            <w:pPr>
              <w:spacing w:before="20" w:after="20" w:line="240" w:lineRule="auto"/>
              <w:jc w:val="left"/>
            </w:pPr>
            <w:r>
              <w:rPr>
                <w:color w:val="37474F"/>
                <w:sz w:val="18"/>
              </w:rPr>
              <w:t>MFILength (14), ProfileBars (288)</w:t>
            </w:r>
          </w:p>
        </w:tc>
      </w:tr>
      <w:tr>
        <w:tc>
          <w:tcPr>
            <w:tcW w:w="2000" w:type="dxa"/>
            <w:tcMar>
              <w:top w:w="60" w:type="dxa"/>
              <w:left w:w="100" w:type="dxa"/>
              <w:bottom w:w="60" w:type="dxa"/>
              <w:right w:w="100" w:type="dxa"/>
            </w:tcMar>
          </w:tcPr>
          <w:p>
            <w:pPr>
              <w:spacing w:before="20" w:after="20" w:line="240" w:lineRule="auto"/>
              <w:jc w:val="left"/>
            </w:pPr>
            <w:r>
              <w:rPr>
                <w:color w:val="37474F"/>
                <w:sz w:val="18"/>
              </w:rPr>
              <w:t>Used by</w:t>
            </w:r>
          </w:p>
        </w:tc>
        <w:tc>
          <w:tcPr>
            <w:tcW w:w="7300" w:type="dxa"/>
            <w:tcMar>
              <w:top w:w="60" w:type="dxa"/>
              <w:left w:w="100" w:type="dxa"/>
              <w:bottom w:w="60" w:type="dxa"/>
              <w:right w:w="100" w:type="dxa"/>
            </w:tcMar>
          </w:tcPr>
          <w:p>
            <w:pPr>
              <w:spacing w:before="20" w:after="20" w:line="240" w:lineRule="auto"/>
              <w:jc w:val="left"/>
            </w:pPr>
            <w:r>
              <w:rPr>
                <w:color w:val="37474F"/>
                <w:sz w:val="18"/>
              </w:rPr>
              <w:t>SignalEngine group 3 (weight 10)</w:t>
            </w:r>
          </w:p>
        </w:tc>
      </w:tr>
    </w:tbl>
    <w:tbl>
      <w:tblPr>
        <w:tblW w:w="5000" w:type="pct"/>
        <w:tblBorders>
          <w:top w:val="single" w:color="B8860B" w:sz="6"/>
          <w:left w:val="single" w:color="B8860B" w:sz="6"/>
          <w:bottom w:val="single" w:color="B8860B" w:sz="6"/>
          <w:right w:val="single" w:color="B8860B" w:sz="6"/>
        </w:tblBorders>
      </w:tblPr>
      <w:tblGrid>
        <w:gridCol w:w="9300"/>
      </w:tblGrid>
      <w:tr>
        <w:tc>
          <w:tcPr>
            <w:tcW w:w="9300" w:type="dxa"/>
            <w:shd w:val="clear" w:fill="1C262B"/>
            <w:tcMar>
              <w:top w:w="80" w:type="dxa"/>
              <w:left w:w="160" w:type="dxa"/>
              <w:bottom w:w="80" w:type="dxa"/>
            </w:tcMar>
          </w:tcPr>
          <w:p>
            <w:r>
              <w:rPr>
                <w:rFonts w:ascii="Consolas" w:hAnsi="Consolas"/>
                <w:b/>
                <w:color w:val="D4AF37"/>
                <w:sz w:val="17"/>
              </w:rPr>
              <w:t>MONEY FLOW — pseudo-code</w:t>
            </w:r>
          </w:p>
        </w:tc>
      </w:tr>
      <w:tr>
        <w:tc>
          <w:tcPr>
            <w:tcW w:w="9300" w:type="dxa"/>
            <w:shd w:val="clear" w:fill="263238"/>
            <w:tcMar>
              <w:top w:w="100" w:type="dxa"/>
              <w:left w:w="160" w:type="dxa"/>
              <w:bottom w:w="100" w:type="dxa"/>
              <w:right w:w="100" w:type="dxa"/>
            </w:tcMar>
          </w:tcPr>
          <w:p>
            <w:pPr>
              <w:spacing w:before="0" w:after="0" w:line="230" w:lineRule="auto"/>
            </w:pPr>
            <w:r>
              <w:rPr>
                <w:rFonts w:ascii="Consolas" w:hAnsi="Consolas"/>
                <w:color w:val="ECEFF1"/>
                <w:sz w:val="16"/>
              </w:rPr>
              <w:t xml:space="preserve">rawMF[b]   = typical[b] * volume[b]</w:t>
            </w:r>
          </w:p>
          <w:p>
            <w:pPr>
              <w:spacing w:before="0" w:after="0" w:line="230" w:lineRule="auto"/>
            </w:pPr>
            <w:r>
              <w:rPr>
                <w:rFonts w:ascii="Consolas" w:hAnsi="Consolas"/>
                <w:color w:val="ECEFF1"/>
                <w:sz w:val="16"/>
              </w:rPr>
              <w:t xml:space="preserve">posMF      = rawMF where typical[b] &gt; typical[b-1]; negMF where &lt;</w:t>
            </w:r>
          </w:p>
          <w:p>
            <w:pPr>
              <w:spacing w:before="0" w:after="0" w:line="230" w:lineRule="auto"/>
            </w:pPr>
            <w:r>
              <w:rPr>
                <w:rFonts w:ascii="Consolas" w:hAnsi="Consolas"/>
                <w:color w:val="ECEFF1"/>
                <w:sz w:val="16"/>
              </w:rPr>
              <w:t xml:space="preserve">MFI        = 100 - 100/(1 + SUM(posMF,14)/max(SUM(negMF,14),eps))</w:t>
            </w:r>
          </w:p>
          <w:p>
            <w:pPr>
              <w:spacing w:before="0" w:after="0" w:line="230" w:lineRule="auto"/>
            </w:pPr>
            <w:r>
              <w:rPr>
                <w:rFonts w:ascii="Consolas" w:hAnsi="Consolas"/>
                <w:color w:val="ECEFF1"/>
                <w:sz w:val="16"/>
              </w:rPr>
              <w:t xml:space="preserve">MoneyRatio = SUM(posMF,14)/max(SUM(negMF,14),eps)   // capped 10</w:t>
            </w:r>
          </w:p>
          <w:p>
            <w:pPr>
              <w:spacing w:before="0" w:after="0" w:line="230" w:lineRule="auto"/>
            </w:pPr>
            <w:r>
              <w:rPr>
                <w:rFonts w:ascii="Consolas" w:hAnsi="Consolas"/>
                <w:color w:val="ECEFF1"/>
                <w:sz w:val="16"/>
              </w:rPr>
              <w:t xml:space="preserve">Pressure(b)= signed rawMF / max|rawMF| over window  // -1..1</w:t>
            </w:r>
          </w:p>
          <w:p>
            <w:pPr>
              <w:spacing w:before="0" w:after="0" w:line="230" w:lineRule="auto"/>
            </w:pPr>
            <w:r>
              <w:rPr>
                <w:rFonts w:ascii="Consolas" w:hAnsi="Consolas"/>
                <w:color w:val="ECEFF1"/>
                <w:sz w:val="16"/>
              </w:rPr>
              <w:t xml:space="preserve"> </w:t>
            </w:r>
          </w:p>
          <w:p>
            <w:pPr>
              <w:spacing w:before="0" w:after="0" w:line="230" w:lineRule="auto"/>
            </w:pPr>
            <w:r>
              <w:rPr>
                <w:rFonts w:ascii="Consolas" w:hAnsi="Consolas"/>
                <w:color w:val="9CAF88"/>
                <w:sz w:val="16"/>
              </w:rPr>
              <w:t xml:space="preserve">// high-traded nodes (HTN):</w:t>
            </w:r>
          </w:p>
          <w:p>
            <w:pPr>
              <w:spacing w:before="0" w:after="0" w:line="230" w:lineRule="auto"/>
            </w:pPr>
            <w:r>
              <w:rPr>
                <w:rFonts w:ascii="Consolas" w:hAnsi="Consolas"/>
                <w:color w:val="ECEFF1"/>
                <w:sz w:val="16"/>
              </w:rPr>
              <w:t xml:space="preserve">bin money-volume of last 288 bars into 40 price bins by typical price</w:t>
            </w:r>
          </w:p>
          <w:p>
            <w:pPr>
              <w:spacing w:before="0" w:after="0" w:line="230" w:lineRule="auto"/>
            </w:pPr>
            <w:r>
              <w:rPr>
                <w:rFonts w:ascii="Consolas" w:hAnsi="Consolas"/>
                <w:color w:val="ECEFF1"/>
                <w:sz w:val="16"/>
              </w:rPr>
              <w:t xml:space="preserve">HTN = bins in top decile of money volume</w:t>
            </w:r>
          </w:p>
          <w:p>
            <w:pPr>
              <w:spacing w:before="0" w:after="0" w:line="230" w:lineRule="auto"/>
            </w:pPr>
            <w:r>
              <w:rPr>
                <w:rFonts w:ascii="Consolas" w:hAnsi="Consolas"/>
                <w:color w:val="ECEFF1"/>
                <w:sz w:val="16"/>
              </w:rPr>
              <w:t xml:space="preserve">NodeStrength(price) = binVol(price)/maxBinVol</w:t>
            </w:r>
          </w:p>
          <w:p>
            <w:pPr>
              <w:spacing w:before="0" w:after="0" w:line="230" w:lineRule="auto"/>
            </w:pPr>
            <w:r>
              <w:rPr>
                <w:rFonts w:ascii="Consolas" w:hAnsi="Consolas"/>
                <w:color w:val="ECEFF1"/>
                <w:sz w:val="16"/>
              </w:rPr>
              <w:t xml:space="preserve">MoneyFlowBullish: MFI rising AND MFI &gt; 50 AND MoneyRatio &gt; 1</w:t>
            </w:r>
          </w:p>
          <w:p>
            <w:pPr>
              <w:spacing w:before="0" w:after="0" w:line="230" w:lineRule="auto"/>
            </w:pPr>
            <w:r>
              <w:rPr>
                <w:rFonts w:ascii="Consolas" w:hAnsi="Consolas"/>
                <w:color w:val="ECEFF1"/>
                <w:sz w:val="16"/>
              </w:rPr>
              <w:t xml:space="preserve">MoneyFlowBearish: mirror</w:t>
            </w:r>
          </w:p>
        </w:tc>
      </w:tr>
    </w:tbl>
    <w:p>
      <w:pPr>
        <w:pStyle w:val="Heading1"/>
      </w:pPr>
      <w:r>
        <w:t>06. VOLUME PROFILE ENGINE</w:t>
      </w:r>
      <w:bookmarkStart w:name="_T8" w:id="8"/>
      <w:bookmarkEnd w:id="8"/>
    </w:p>
    <w:p>
      <w:pPr>
        <w:spacing w:after="240"/>
      </w:pPr>
      <w:r>
        <w:rPr>
          <w:i/>
          <w:color w:val="546E7A"/>
        </w:rPr>
        <w:t>Question answered: where did the market accept price (high volume) and where did it reject it (low volume) over the last 24 hours?</w:t>
      </w:r>
    </w:p>
    <w:tbl>
      <w:tblPr>
        <w:tblW w:w="5000" w:type="pct"/>
        <w:tblBorders>
          <w:top w:val="single" w:color="B8860B" w:sz="12"/>
          <w:bottom w:val="single" w:color="B8860B" w:sz="12"/>
          <w:insideH w:val="single" w:color="CFD8DC" w:sz="4"/>
          <w:insideV w:val="single" w:color="CFD8DC" w:sz="4"/>
        </w:tblBorders>
      </w:tblPr>
      <w:tblGrid>
        <w:gridCol w:w="2000"/>
        <w:gridCol w:w="7300"/>
      </w:tblGrid>
      <w:tr>
        <w:trPr>
          <w:tblHeader/>
        </w:trPr>
        <w:tc>
          <w:tcPr>
            <w:tcW w:w="2000" w:type="dxa"/>
            <w:shd w:val="clear" w:fill="ECEFF1"/>
            <w:tcMar>
              <w:top w:w="60" w:type="dxa"/>
              <w:left w:w="100" w:type="dxa"/>
              <w:bottom w:w="60" w:type="dxa"/>
              <w:right w:w="100" w:type="dxa"/>
            </w:tcMar>
          </w:tcPr>
          <w:p>
            <w:pPr>
              <w:spacing w:before="20" w:after="20" w:line="240" w:lineRule="auto"/>
              <w:jc w:val="left"/>
            </w:pPr>
            <w:r>
              <w:rPr>
                <w:b/>
                <w:color w:val="263238"/>
                <w:sz w:val="18"/>
              </w:rPr>
              <w:t>CONTRACT</w:t>
            </w:r>
          </w:p>
        </w:tc>
        <w:tc>
          <w:tcPr>
            <w:tcW w:w="7300" w:type="dxa"/>
            <w:shd w:val="clear" w:fill="ECEFF1"/>
            <w:tcMar>
              <w:top w:w="60" w:type="dxa"/>
              <w:left w:w="100" w:type="dxa"/>
              <w:bottom w:w="60" w:type="dxa"/>
              <w:right w:w="100" w:type="dxa"/>
            </w:tcMar>
          </w:tcPr>
          <w:p>
            <w:pPr>
              <w:spacing w:before="20" w:after="20" w:line="240" w:lineRule="auto"/>
              <w:jc w:val="left"/>
            </w:pPr>
            <w:r>
              <w:rPr>
                <w:b/>
                <w:color w:val="263238"/>
                <w:sz w:val="18"/>
              </w:rPr>
              <w:t>DETAIL</w:t>
            </w:r>
          </w:p>
        </w:tc>
      </w:tr>
      <w:tr>
        <w:tc>
          <w:tcPr>
            <w:tcW w:w="2000" w:type="dxa"/>
            <w:tcMar>
              <w:top w:w="60" w:type="dxa"/>
              <w:left w:w="100" w:type="dxa"/>
              <w:bottom w:w="60" w:type="dxa"/>
              <w:right w:w="100" w:type="dxa"/>
            </w:tcMar>
          </w:tcPr>
          <w:p>
            <w:pPr>
              <w:spacing w:before="20" w:after="20" w:line="240" w:lineRule="auto"/>
              <w:jc w:val="left"/>
            </w:pPr>
            <w:r>
              <w:rPr>
                <w:color w:val="37474F"/>
                <w:sz w:val="18"/>
              </w:rPr>
              <w:t>Inputs</w:t>
            </w:r>
          </w:p>
        </w:tc>
        <w:tc>
          <w:tcPr>
            <w:tcW w:w="7300" w:type="dxa"/>
            <w:tcMar>
              <w:top w:w="60" w:type="dxa"/>
              <w:left w:w="100" w:type="dxa"/>
              <w:bottom w:w="60" w:type="dxa"/>
              <w:right w:w="100" w:type="dxa"/>
            </w:tcMar>
          </w:tcPr>
          <w:p>
            <w:pPr>
              <w:spacing w:before="20" w:after="20" w:line="240" w:lineRule="auto"/>
              <w:jc w:val="left"/>
            </w:pPr>
            <w:r>
              <w:rPr>
                <w:color w:val="37474F"/>
                <w:sz w:val="18"/>
              </w:rPr>
              <w:t>M5 OHLCV, rolling 288-bar window</w:t>
            </w:r>
          </w:p>
        </w:tc>
      </w:tr>
      <w:tr>
        <w:tc>
          <w:tcPr>
            <w:tcW w:w="2000" w:type="dxa"/>
            <w:tcMar>
              <w:top w:w="60" w:type="dxa"/>
              <w:left w:w="100" w:type="dxa"/>
              <w:bottom w:w="60" w:type="dxa"/>
              <w:right w:w="100" w:type="dxa"/>
            </w:tcMar>
          </w:tcPr>
          <w:p>
            <w:pPr>
              <w:spacing w:before="20" w:after="20" w:line="240" w:lineRule="auto"/>
              <w:jc w:val="left"/>
            </w:pPr>
            <w:r>
              <w:rPr>
                <w:color w:val="37474F"/>
                <w:sz w:val="18"/>
              </w:rPr>
              <w:t>Outputs</w:t>
            </w:r>
          </w:p>
        </w:tc>
        <w:tc>
          <w:tcPr>
            <w:tcW w:w="7300" w:type="dxa"/>
            <w:tcMar>
              <w:top w:w="60" w:type="dxa"/>
              <w:left w:w="100" w:type="dxa"/>
              <w:bottom w:w="60" w:type="dxa"/>
              <w:right w:w="100" w:type="dxa"/>
            </w:tcMar>
          </w:tcPr>
          <w:p>
            <w:pPr>
              <w:spacing w:before="20" w:after="20" w:line="240" w:lineRule="auto"/>
              <w:jc w:val="left"/>
            </w:pPr>
            <w:r>
              <w:rPr>
                <w:color w:val="37474F"/>
                <w:sz w:val="18"/>
              </w:rPr>
              <w:t>POC, VAH, VAL, High/Low of profile, IsHVN/IsLVN(price), NearestHVN/LVN(price, above), NodeCount/NodePrice/NodeVol (for indicator)</w:t>
            </w:r>
          </w:p>
        </w:tc>
      </w:tr>
      <w:tr>
        <w:tc>
          <w:tcPr>
            <w:tcW w:w="2000" w:type="dxa"/>
            <w:tcMar>
              <w:top w:w="60" w:type="dxa"/>
              <w:left w:w="100" w:type="dxa"/>
              <w:bottom w:w="60" w:type="dxa"/>
              <w:right w:w="100" w:type="dxa"/>
            </w:tcMar>
          </w:tcPr>
          <w:p>
            <w:pPr>
              <w:spacing w:before="20" w:after="20" w:line="240" w:lineRule="auto"/>
              <w:jc w:val="left"/>
            </w:pPr>
            <w:r>
              <w:rPr>
                <w:color w:val="37474F"/>
                <w:sz w:val="18"/>
              </w:rPr>
              <w:t>Config</w:t>
            </w:r>
          </w:p>
        </w:tc>
        <w:tc>
          <w:tcPr>
            <w:tcW w:w="7300" w:type="dxa"/>
            <w:tcMar>
              <w:top w:w="60" w:type="dxa"/>
              <w:left w:w="100" w:type="dxa"/>
              <w:bottom w:w="60" w:type="dxa"/>
              <w:right w:w="100" w:type="dxa"/>
            </w:tcMar>
          </w:tcPr>
          <w:p>
            <w:pPr>
              <w:spacing w:before="20" w:after="20" w:line="240" w:lineRule="auto"/>
              <w:jc w:val="left"/>
            </w:pPr>
            <w:r>
              <w:rPr>
                <w:color w:val="37474F"/>
                <w:sz w:val="18"/>
              </w:rPr>
              <w:t>ProfileBars (288), ProfileRows (60), ValueAreaPct (70)</w:t>
            </w:r>
          </w:p>
        </w:tc>
      </w:tr>
      <w:tr>
        <w:tc>
          <w:tcPr>
            <w:tcW w:w="2000" w:type="dxa"/>
            <w:tcMar>
              <w:top w:w="60" w:type="dxa"/>
              <w:left w:w="100" w:type="dxa"/>
              <w:bottom w:w="60" w:type="dxa"/>
              <w:right w:w="100" w:type="dxa"/>
            </w:tcMar>
          </w:tcPr>
          <w:p>
            <w:pPr>
              <w:spacing w:before="20" w:after="20" w:line="240" w:lineRule="auto"/>
              <w:jc w:val="left"/>
            </w:pPr>
            <w:r>
              <w:rPr>
                <w:color w:val="37474F"/>
                <w:sz w:val="18"/>
              </w:rPr>
              <w:t>Used by</w:t>
            </w:r>
          </w:p>
        </w:tc>
        <w:tc>
          <w:tcPr>
            <w:tcW w:w="7300" w:type="dxa"/>
            <w:tcMar>
              <w:top w:w="60" w:type="dxa"/>
              <w:left w:w="100" w:type="dxa"/>
              <w:bottom w:w="60" w:type="dxa"/>
              <w:right w:w="100" w:type="dxa"/>
            </w:tcMar>
          </w:tcPr>
          <w:p>
            <w:pPr>
              <w:spacing w:before="20" w:after="20" w:line="240" w:lineRule="auto"/>
              <w:jc w:val="left"/>
            </w:pPr>
            <w:r>
              <w:rPr>
                <w:color w:val="37474F"/>
                <w:sz w:val="18"/>
              </w:rPr>
              <w:t>SignalEngine group 4 (weight 12); Indicator</w:t>
            </w:r>
          </w:p>
        </w:tc>
      </w:tr>
    </w:tbl>
    <w:tbl>
      <w:tblPr>
        <w:tblW w:w="5000" w:type="pct"/>
        <w:tblBorders>
          <w:top w:val="single" w:color="B8860B" w:sz="6"/>
          <w:left w:val="single" w:color="B8860B" w:sz="6"/>
          <w:bottom w:val="single" w:color="B8860B" w:sz="6"/>
          <w:right w:val="single" w:color="B8860B" w:sz="6"/>
        </w:tblBorders>
      </w:tblPr>
      <w:tblGrid>
        <w:gridCol w:w="9300"/>
      </w:tblGrid>
      <w:tr>
        <w:tc>
          <w:tcPr>
            <w:tcW w:w="9300" w:type="dxa"/>
            <w:shd w:val="clear" w:fill="1C262B"/>
            <w:tcMar>
              <w:top w:w="80" w:type="dxa"/>
              <w:left w:w="160" w:type="dxa"/>
              <w:bottom w:w="80" w:type="dxa"/>
            </w:tcMar>
          </w:tcPr>
          <w:p>
            <w:r>
              <w:rPr>
                <w:rFonts w:ascii="Consolas" w:hAnsi="Consolas"/>
                <w:b/>
                <w:color w:val="D4AF37"/>
                <w:sz w:val="17"/>
              </w:rPr>
              <w:t>VOLUME PROFILE — pseudo-code</w:t>
            </w:r>
          </w:p>
        </w:tc>
      </w:tr>
      <w:tr>
        <w:tc>
          <w:tcPr>
            <w:tcW w:w="9300" w:type="dxa"/>
            <w:shd w:val="clear" w:fill="263238"/>
            <w:tcMar>
              <w:top w:w="100" w:type="dxa"/>
              <w:left w:w="160" w:type="dxa"/>
              <w:bottom w:w="100" w:type="dxa"/>
              <w:right w:w="100" w:type="dxa"/>
            </w:tcMar>
          </w:tcPr>
          <w:p>
            <w:pPr>
              <w:spacing w:before="0" w:after="0" w:line="230" w:lineRule="auto"/>
            </w:pPr>
            <w:r>
              <w:rPr>
                <w:rFonts w:ascii="Consolas" w:hAnsi="Consolas"/>
                <w:color w:val="ECEFF1"/>
                <w:sz w:val="16"/>
              </w:rPr>
              <w:t xml:space="preserve">ON NEW M5 BAR (rebuild gated, cheap otherwise):</w:t>
            </w:r>
          </w:p>
          <w:p>
            <w:pPr>
              <w:spacing w:before="0" w:after="0" w:line="230" w:lineRule="auto"/>
            </w:pPr>
            <w:r>
              <w:rPr>
                <w:rFonts w:ascii="Consolas" w:hAnsi="Consolas"/>
                <w:color w:val="ECEFF1"/>
                <w:sz w:val="16"/>
              </w:rPr>
              <w:t xml:space="preserve">axis   = [min low .. max high] of window, split into 60 bins</w:t>
            </w:r>
          </w:p>
          <w:p>
            <w:pPr>
              <w:spacing w:before="0" w:after="0" w:line="230" w:lineRule="auto"/>
            </w:pPr>
            <w:r>
              <w:rPr>
                <w:rFonts w:ascii="Consolas" w:hAnsi="Consolas"/>
                <w:color w:val="ECEFF1"/>
                <w:sz w:val="16"/>
              </w:rPr>
              <w:t xml:space="preserve">FOR each bar: distribute bar volume UNIFORMLY across bins its</w:t>
            </w:r>
          </w:p>
          <w:p>
            <w:pPr>
              <w:spacing w:before="0" w:after="0" w:line="230" w:lineRule="auto"/>
            </w:pPr>
            <w:r>
              <w:rPr>
                <w:rFonts w:ascii="Consolas" w:hAnsi="Consolas"/>
                <w:color w:val="ECEFF1"/>
                <w:sz w:val="16"/>
              </w:rPr>
              <w:t xml:space="preserve">    [low..high] covers (documented, deterministic approximation)</w:t>
            </w:r>
          </w:p>
          <w:p>
            <w:pPr>
              <w:spacing w:before="0" w:after="0" w:line="230" w:lineRule="auto"/>
            </w:pPr>
            <w:r>
              <w:rPr>
                <w:rFonts w:ascii="Consolas" w:hAnsi="Consolas"/>
                <w:color w:val="ECEFF1"/>
                <w:sz w:val="16"/>
              </w:rPr>
              <w:t xml:space="preserve">POC      = bin with max volume</w:t>
            </w:r>
          </w:p>
          <w:p>
            <w:pPr>
              <w:spacing w:before="0" w:after="0" w:line="230" w:lineRule="auto"/>
            </w:pPr>
            <w:r>
              <w:rPr>
                <w:rFonts w:ascii="Consolas" w:hAnsi="Consolas"/>
                <w:color w:val="ECEFF1"/>
                <w:sz w:val="16"/>
              </w:rPr>
              <w:t xml:space="preserve">VALUE AREA: start at POC; iteratively absorb the larger of the</w:t>
            </w:r>
          </w:p>
          <w:p>
            <w:pPr>
              <w:spacing w:before="0" w:after="0" w:line="230" w:lineRule="auto"/>
            </w:pPr>
            <w:r>
              <w:rPr>
                <w:rFonts w:ascii="Consolas" w:hAnsi="Consolas"/>
                <w:color w:val="ECEFF1"/>
                <w:sz w:val="16"/>
              </w:rPr>
              <w:t xml:space="preserve">    upper/lower neighbour bins until &gt;= 70% of total volume</w:t>
            </w:r>
          </w:p>
          <w:p>
            <w:pPr>
              <w:spacing w:before="0" w:after="0" w:line="230" w:lineRule="auto"/>
            </w:pPr>
            <w:r>
              <w:rPr>
                <w:rFonts w:ascii="Consolas" w:hAnsi="Consolas"/>
                <w:color w:val="ECEFF1"/>
                <w:sz w:val="16"/>
              </w:rPr>
              <w:t xml:space="preserve">    -&gt; VAH = upper outer edge, VAL = lower outer edge</w:t>
            </w:r>
          </w:p>
          <w:p>
            <w:pPr>
              <w:spacing w:before="0" w:after="0" w:line="230" w:lineRule="auto"/>
            </w:pPr>
            <w:r>
              <w:rPr>
                <w:rFonts w:ascii="Consolas" w:hAnsi="Consolas"/>
                <w:color w:val="ECEFF1"/>
                <w:sz w:val="16"/>
              </w:rPr>
              <w:t xml:space="preserve">HVN = bins with vol &gt;= 1.5x mean   // acceptance shelves</w:t>
            </w:r>
          </w:p>
          <w:p>
            <w:pPr>
              <w:spacing w:before="0" w:after="0" w:line="230" w:lineRule="auto"/>
            </w:pPr>
            <w:r>
              <w:rPr>
                <w:rFonts w:ascii="Consolas" w:hAnsi="Consolas"/>
                <w:color w:val="ECEFF1"/>
                <w:sz w:val="16"/>
              </w:rPr>
              <w:t xml:space="preserve">LVN = bins with vol &lt;= 0.5x mean   // rejection / fast-travel zones</w:t>
            </w:r>
          </w:p>
          <w:p>
            <w:pPr>
              <w:spacing w:before="0" w:after="0" w:line="230" w:lineRule="auto"/>
            </w:pPr>
            <w:r>
              <w:rPr>
                <w:rFonts w:ascii="Consolas" w:hAnsi="Consolas"/>
                <w:color w:val="ECEFF1"/>
                <w:sz w:val="16"/>
              </w:rPr>
              <w:t xml:space="preserve">NearestHVN/LVN(price, above): first matching bin centre beyond price</w:t>
            </w:r>
          </w:p>
        </w:tc>
      </w:tr>
    </w:tbl>
    <w:p>
      <w:pPr>
        <w:pStyle w:val="Heading1"/>
      </w:pPr>
      <w:r>
        <w:t>07. MULTI-ANCHOR VWAP ENGINE</w:t>
      </w:r>
      <w:bookmarkStart w:name="_T9" w:id="9"/>
      <w:bookmarkEnd w:id="9"/>
    </w:p>
    <w:p>
      <w:pPr>
        <w:spacing w:after="240"/>
      </w:pPr>
      <w:r>
        <w:rPr>
          <w:i/>
          <w:color w:val="546E7A"/>
        </w:rPr>
        <w:t>Question answered: where is the volume-weighted fair price of the day, week, month and quarter — and which side of it are we on?</w:t>
      </w:r>
    </w:p>
    <w:tbl>
      <w:tblPr>
        <w:tblW w:w="5000" w:type="pct"/>
        <w:tblBorders>
          <w:top w:val="single" w:color="B8860B" w:sz="12"/>
          <w:bottom w:val="single" w:color="B8860B" w:sz="12"/>
          <w:insideH w:val="single" w:color="CFD8DC" w:sz="4"/>
          <w:insideV w:val="single" w:color="CFD8DC" w:sz="4"/>
        </w:tblBorders>
      </w:tblPr>
      <w:tblGrid>
        <w:gridCol w:w="2000"/>
        <w:gridCol w:w="7300"/>
      </w:tblGrid>
      <w:tr>
        <w:trPr>
          <w:tblHeader/>
        </w:trPr>
        <w:tc>
          <w:tcPr>
            <w:tcW w:w="2000" w:type="dxa"/>
            <w:shd w:val="clear" w:fill="ECEFF1"/>
            <w:tcMar>
              <w:top w:w="60" w:type="dxa"/>
              <w:left w:w="100" w:type="dxa"/>
              <w:bottom w:w="60" w:type="dxa"/>
              <w:right w:w="100" w:type="dxa"/>
            </w:tcMar>
          </w:tcPr>
          <w:p>
            <w:pPr>
              <w:spacing w:before="20" w:after="20" w:line="240" w:lineRule="auto"/>
              <w:jc w:val="left"/>
            </w:pPr>
            <w:r>
              <w:rPr>
                <w:b/>
                <w:color w:val="263238"/>
                <w:sz w:val="18"/>
              </w:rPr>
              <w:t>CONTRACT</w:t>
            </w:r>
          </w:p>
        </w:tc>
        <w:tc>
          <w:tcPr>
            <w:tcW w:w="7300" w:type="dxa"/>
            <w:shd w:val="clear" w:fill="ECEFF1"/>
            <w:tcMar>
              <w:top w:w="60" w:type="dxa"/>
              <w:left w:w="100" w:type="dxa"/>
              <w:bottom w:w="60" w:type="dxa"/>
              <w:right w:w="100" w:type="dxa"/>
            </w:tcMar>
          </w:tcPr>
          <w:p>
            <w:pPr>
              <w:spacing w:before="20" w:after="20" w:line="240" w:lineRule="auto"/>
              <w:jc w:val="left"/>
            </w:pPr>
            <w:r>
              <w:rPr>
                <w:b/>
                <w:color w:val="263238"/>
                <w:sz w:val="18"/>
              </w:rPr>
              <w:t>DETAIL</w:t>
            </w:r>
          </w:p>
        </w:tc>
      </w:tr>
      <w:tr>
        <w:tc>
          <w:tcPr>
            <w:tcW w:w="2000" w:type="dxa"/>
            <w:tcMar>
              <w:top w:w="60" w:type="dxa"/>
              <w:left w:w="100" w:type="dxa"/>
              <w:bottom w:w="60" w:type="dxa"/>
              <w:right w:w="100" w:type="dxa"/>
            </w:tcMar>
          </w:tcPr>
          <w:p>
            <w:pPr>
              <w:spacing w:before="20" w:after="20" w:line="240" w:lineRule="auto"/>
              <w:jc w:val="left"/>
            </w:pPr>
            <w:r>
              <w:rPr>
                <w:color w:val="37474F"/>
                <w:sz w:val="18"/>
              </w:rPr>
              <w:t>Inputs</w:t>
            </w:r>
          </w:p>
        </w:tc>
        <w:tc>
          <w:tcPr>
            <w:tcW w:w="7300" w:type="dxa"/>
            <w:tcMar>
              <w:top w:w="60" w:type="dxa"/>
              <w:left w:w="100" w:type="dxa"/>
              <w:bottom w:w="60" w:type="dxa"/>
              <w:right w:w="100" w:type="dxa"/>
            </w:tcMar>
          </w:tcPr>
          <w:p>
            <w:pPr>
              <w:spacing w:before="20" w:after="20" w:line="240" w:lineRule="auto"/>
              <w:jc w:val="left"/>
            </w:pPr>
            <w:r>
              <w:rPr>
                <w:color w:val="37474F"/>
                <w:sz w:val="18"/>
              </w:rPr>
              <w:t>M5 typical price x volume (real volume when feed provides)</w:t>
            </w:r>
          </w:p>
        </w:tc>
      </w:tr>
      <w:tr>
        <w:tc>
          <w:tcPr>
            <w:tcW w:w="2000" w:type="dxa"/>
            <w:tcMar>
              <w:top w:w="60" w:type="dxa"/>
              <w:left w:w="100" w:type="dxa"/>
              <w:bottom w:w="60" w:type="dxa"/>
              <w:right w:w="100" w:type="dxa"/>
            </w:tcMar>
          </w:tcPr>
          <w:p>
            <w:pPr>
              <w:spacing w:before="20" w:after="20" w:line="240" w:lineRule="auto"/>
              <w:jc w:val="left"/>
            </w:pPr>
            <w:r>
              <w:rPr>
                <w:color w:val="37474F"/>
                <w:sz w:val="18"/>
              </w:rPr>
              <w:t>Outputs</w:t>
            </w:r>
          </w:p>
        </w:tc>
        <w:tc>
          <w:tcPr>
            <w:tcW w:w="7300" w:type="dxa"/>
            <w:tcMar>
              <w:top w:w="60" w:type="dxa"/>
              <w:left w:w="100" w:type="dxa"/>
              <w:bottom w:w="60" w:type="dxa"/>
              <w:right w:w="100" w:type="dxa"/>
            </w:tcMar>
          </w:tcPr>
          <w:p>
            <w:pPr>
              <w:spacing w:before="20" w:after="20" w:line="240" w:lineRule="auto"/>
              <w:jc w:val="left"/>
            </w:pPr>
            <w:r>
              <w:rPr>
                <w:color w:val="37474F"/>
                <w:sz w:val="18"/>
              </w:rPr>
              <w:t>Value(anchor) for DAILY/WEEKLY/MONTHLY/QUARTERLY, Band(anchor, sigma 1|2, dir +/-1), PriceSide(anchor) +1/-1/0, QuarterlyBias -1..1</w:t>
            </w:r>
          </w:p>
        </w:tc>
      </w:tr>
      <w:tr>
        <w:tc>
          <w:tcPr>
            <w:tcW w:w="2000" w:type="dxa"/>
            <w:tcMar>
              <w:top w:w="60" w:type="dxa"/>
              <w:left w:w="100" w:type="dxa"/>
              <w:bottom w:w="60" w:type="dxa"/>
              <w:right w:w="100" w:type="dxa"/>
            </w:tcMar>
          </w:tcPr>
          <w:p>
            <w:pPr>
              <w:spacing w:before="20" w:after="20" w:line="240" w:lineRule="auto"/>
              <w:jc w:val="left"/>
            </w:pPr>
            <w:r>
              <w:rPr>
                <w:color w:val="37474F"/>
                <w:sz w:val="18"/>
              </w:rPr>
              <w:t>Config</w:t>
            </w:r>
          </w:p>
        </w:tc>
        <w:tc>
          <w:tcPr>
            <w:tcW w:w="7300" w:type="dxa"/>
            <w:tcMar>
              <w:top w:w="60" w:type="dxa"/>
              <w:left w:w="100" w:type="dxa"/>
              <w:bottom w:w="60" w:type="dxa"/>
              <w:right w:w="100" w:type="dxa"/>
            </w:tcMar>
          </w:tcPr>
          <w:p>
            <w:pPr>
              <w:spacing w:before="20" w:after="20" w:line="240" w:lineRule="auto"/>
              <w:jc w:val="left"/>
            </w:pPr>
            <w:r>
              <w:rPr>
                <w:color w:val="37474F"/>
                <w:sz w:val="18"/>
              </w:rPr>
              <w:t>anchors fixed; quarterly lookback capped ~8000 M5 bars (rolling approximation, documented)</w:t>
            </w:r>
          </w:p>
        </w:tc>
      </w:tr>
      <w:tr>
        <w:tc>
          <w:tcPr>
            <w:tcW w:w="2000" w:type="dxa"/>
            <w:tcMar>
              <w:top w:w="60" w:type="dxa"/>
              <w:left w:w="100" w:type="dxa"/>
              <w:bottom w:w="60" w:type="dxa"/>
              <w:right w:w="100" w:type="dxa"/>
            </w:tcMar>
          </w:tcPr>
          <w:p>
            <w:pPr>
              <w:spacing w:before="20" w:after="20" w:line="240" w:lineRule="auto"/>
              <w:jc w:val="left"/>
            </w:pPr>
            <w:r>
              <w:rPr>
                <w:color w:val="37474F"/>
                <w:sz w:val="18"/>
              </w:rPr>
              <w:t>Used by</w:t>
            </w:r>
          </w:p>
        </w:tc>
        <w:tc>
          <w:tcPr>
            <w:tcW w:w="7300" w:type="dxa"/>
            <w:tcMar>
              <w:top w:w="60" w:type="dxa"/>
              <w:left w:w="100" w:type="dxa"/>
              <w:bottom w:w="60" w:type="dxa"/>
              <w:right w:w="100" w:type="dxa"/>
            </w:tcMar>
          </w:tcPr>
          <w:p>
            <w:pPr>
              <w:spacing w:before="20" w:after="20" w:line="240" w:lineRule="auto"/>
              <w:jc w:val="left"/>
            </w:pPr>
            <w:r>
              <w:rPr>
                <w:color w:val="37474F"/>
                <w:sz w:val="18"/>
              </w:rPr>
              <w:t>SignalEngine group 1 (weight 15); Indicator</w:t>
            </w:r>
          </w:p>
        </w:tc>
      </w:tr>
    </w:tbl>
    <w:tbl>
      <w:tblPr>
        <w:tblW w:w="5000" w:type="pct"/>
        <w:tblBorders>
          <w:top w:val="single" w:color="B8860B" w:sz="6"/>
          <w:left w:val="single" w:color="B8860B" w:sz="6"/>
          <w:bottom w:val="single" w:color="B8860B" w:sz="6"/>
          <w:right w:val="single" w:color="B8860B" w:sz="6"/>
        </w:tblBorders>
      </w:tblPr>
      <w:tblGrid>
        <w:gridCol w:w="9300"/>
      </w:tblGrid>
      <w:tr>
        <w:tc>
          <w:tcPr>
            <w:tcW w:w="9300" w:type="dxa"/>
            <w:shd w:val="clear" w:fill="1C262B"/>
            <w:tcMar>
              <w:top w:w="80" w:type="dxa"/>
              <w:left w:w="160" w:type="dxa"/>
              <w:bottom w:w="80" w:type="dxa"/>
            </w:tcMar>
          </w:tcPr>
          <w:p>
            <w:r>
              <w:rPr>
                <w:rFonts w:ascii="Consolas" w:hAnsi="Consolas"/>
                <w:b/>
                <w:color w:val="D4AF37"/>
                <w:sz w:val="17"/>
              </w:rPr>
              <w:t>VWAP — pseudo-code</w:t>
            </w:r>
          </w:p>
        </w:tc>
      </w:tr>
      <w:tr>
        <w:tc>
          <w:tcPr>
            <w:tcW w:w="9300" w:type="dxa"/>
            <w:shd w:val="clear" w:fill="263238"/>
            <w:tcMar>
              <w:top w:w="100" w:type="dxa"/>
              <w:left w:w="160" w:type="dxa"/>
              <w:bottom w:w="100" w:type="dxa"/>
              <w:right w:w="100" w:type="dxa"/>
            </w:tcMar>
          </w:tcPr>
          <w:p>
            <w:pPr>
              <w:spacing w:before="0" w:after="0" w:line="230" w:lineRule="auto"/>
            </w:pPr>
            <w:r>
              <w:rPr>
                <w:rFonts w:ascii="Consolas" w:hAnsi="Consolas"/>
                <w:color w:val="ECEFF1"/>
                <w:sz w:val="16"/>
              </w:rPr>
              <w:t xml:space="preserve">anchors: DAILY = server 00:00; WEEKLY = Mon 00:00; MONTHLY = 1st;</w:t>
            </w:r>
          </w:p>
          <w:p>
            <w:pPr>
              <w:spacing w:before="0" w:after="0" w:line="230" w:lineRule="auto"/>
            </w:pPr>
            <w:r>
              <w:rPr>
                <w:rFonts w:ascii="Consolas" w:hAnsi="Consolas"/>
                <w:color w:val="ECEFF1"/>
                <w:sz w:val="16"/>
              </w:rPr>
              <w:t xml:space="preserve">          QUARTERLY = Jan/Apr/Jul/Oct 1st</w:t>
            </w:r>
          </w:p>
          <w:p>
            <w:pPr>
              <w:spacing w:before="0" w:after="0" w:line="230" w:lineRule="auto"/>
            </w:pPr>
            <w:r>
              <w:rPr>
                <w:rFonts w:ascii="Consolas" w:hAnsi="Consolas"/>
                <w:color w:val="ECEFF1"/>
                <w:sz w:val="16"/>
              </w:rPr>
              <w:t xml:space="preserve">VWAP(anchor) = SUM(typical*vol since anchor) / SUM(vol since anchor)</w:t>
            </w:r>
          </w:p>
          <w:p>
            <w:pPr>
              <w:spacing w:before="0" w:after="0" w:line="230" w:lineRule="auto"/>
            </w:pPr>
            <w:r>
              <w:rPr>
                <w:rFonts w:ascii="Consolas" w:hAnsi="Consolas"/>
                <w:color w:val="ECEFF1"/>
                <w:sz w:val="16"/>
              </w:rPr>
              <w:t xml:space="preserve">variance     = SUM(vol*(typical-VWAP)^2) / SUM(vol)</w:t>
            </w:r>
          </w:p>
          <w:p>
            <w:pPr>
              <w:spacing w:before="0" w:after="0" w:line="230" w:lineRule="auto"/>
            </w:pPr>
            <w:r>
              <w:rPr>
                <w:rFonts w:ascii="Consolas" w:hAnsi="Consolas"/>
                <w:color w:val="ECEFF1"/>
                <w:sz w:val="16"/>
              </w:rPr>
              <w:t xml:space="preserve">Band(a, k, dir) = VWAP(a) + dir * k * sqrt(variance)   // k in {1,2}</w:t>
            </w:r>
          </w:p>
          <w:p>
            <w:pPr>
              <w:spacing w:before="0" w:after="0" w:line="230" w:lineRule="auto"/>
            </w:pPr>
            <w:r>
              <w:rPr>
                <w:rFonts w:ascii="Consolas" w:hAnsi="Consolas"/>
                <w:color w:val="ECEFF1"/>
                <w:sz w:val="16"/>
              </w:rPr>
              <w:t xml:space="preserve">guard: &lt; 5 bars in window -&gt; Value = 0, PriceSide = 0</w:t>
            </w:r>
          </w:p>
          <w:p>
            <w:pPr>
              <w:spacing w:before="0" w:after="0" w:line="230" w:lineRule="auto"/>
            </w:pPr>
            <w:r>
              <w:rPr>
                <w:rFonts w:ascii="Consolas" w:hAnsi="Consolas"/>
                <w:color w:val="ECEFF1"/>
                <w:sz w:val="16"/>
              </w:rPr>
              <w:t xml:space="preserve"> </w:t>
            </w:r>
          </w:p>
          <w:p>
            <w:pPr>
              <w:spacing w:before="0" w:after="0" w:line="230" w:lineRule="auto"/>
            </w:pPr>
            <w:r>
              <w:rPr>
                <w:rFonts w:ascii="Consolas" w:hAnsi="Consolas"/>
                <w:color w:val="ECEFF1"/>
                <w:sz w:val="16"/>
              </w:rPr>
              <w:t xml:space="preserve">QuarterlyBias = 0.5 * sign(p - QVWAP) * min(1, |p - QVWAP|/(2*sigmaQ))</w:t>
            </w:r>
          </w:p>
          <w:p>
            <w:pPr>
              <w:spacing w:before="0" w:after="0" w:line="230" w:lineRule="auto"/>
            </w:pPr>
            <w:r>
              <w:rPr>
                <w:rFonts w:ascii="Consolas" w:hAnsi="Consolas"/>
                <w:color w:val="ECEFF1"/>
                <w:sz w:val="16"/>
              </w:rPr>
              <w:t xml:space="preserve">              + 0.3 * sign(p - MVWAP)</w:t>
            </w:r>
          </w:p>
          <w:p>
            <w:pPr>
              <w:spacing w:before="0" w:after="0" w:line="230" w:lineRule="auto"/>
            </w:pPr>
            <w:r>
              <w:rPr>
                <w:rFonts w:ascii="Consolas" w:hAnsi="Consolas"/>
                <w:color w:val="ECEFF1"/>
                <w:sz w:val="16"/>
              </w:rPr>
              <w:t xml:space="preserve">              + 0.2 * sign(p - QVWAP) * QuarterProgress   // clamp -1..1</w:t>
            </w:r>
          </w:p>
        </w:tc>
      </w:tr>
    </w:tbl>
    <w:p>
      <w:pPr>
        <w:pStyle w:val="Heading1"/>
      </w:pPr>
      <w:r>
        <w:t>08. MARKET STRUCTURE ENGINE</w:t>
      </w:r>
      <w:bookmarkStart w:name="_T10" w:id="10"/>
      <w:bookmarkEnd w:id="10"/>
    </w:p>
    <w:p>
      <w:pPr>
        <w:spacing w:after="240"/>
      </w:pPr>
      <w:r>
        <w:rPr>
          <w:i/>
          <w:color w:val="546E7A"/>
        </w:rPr>
        <w:t>Question answered: what is the auction doing — trending, ranging, sweeping liquidity — and where exactly are the zones price is likely to react from?</w:t>
      </w:r>
    </w:p>
    <w:tbl>
      <w:tblPr>
        <w:tblW w:w="5000" w:type="pct"/>
        <w:tblBorders>
          <w:top w:val="single" w:color="B8860B" w:sz="12"/>
          <w:bottom w:val="single" w:color="B8860B" w:sz="12"/>
          <w:insideH w:val="single" w:color="CFD8DC" w:sz="4"/>
          <w:insideV w:val="single" w:color="CFD8DC" w:sz="4"/>
        </w:tblBorders>
      </w:tblPr>
      <w:tblGrid>
        <w:gridCol w:w="2000"/>
        <w:gridCol w:w="7300"/>
      </w:tblGrid>
      <w:tr>
        <w:trPr>
          <w:tblHeader/>
        </w:trPr>
        <w:tc>
          <w:tcPr>
            <w:tcW w:w="2000" w:type="dxa"/>
            <w:shd w:val="clear" w:fill="ECEFF1"/>
            <w:tcMar>
              <w:top w:w="60" w:type="dxa"/>
              <w:left w:w="100" w:type="dxa"/>
              <w:bottom w:w="60" w:type="dxa"/>
              <w:right w:w="100" w:type="dxa"/>
            </w:tcMar>
          </w:tcPr>
          <w:p>
            <w:pPr>
              <w:spacing w:before="20" w:after="20" w:line="240" w:lineRule="auto"/>
              <w:jc w:val="left"/>
            </w:pPr>
            <w:r>
              <w:rPr>
                <w:b/>
                <w:color w:val="263238"/>
                <w:sz w:val="18"/>
              </w:rPr>
              <w:t>CONTRACT</w:t>
            </w:r>
          </w:p>
        </w:tc>
        <w:tc>
          <w:tcPr>
            <w:tcW w:w="7300" w:type="dxa"/>
            <w:shd w:val="clear" w:fill="ECEFF1"/>
            <w:tcMar>
              <w:top w:w="60" w:type="dxa"/>
              <w:left w:w="100" w:type="dxa"/>
              <w:bottom w:w="60" w:type="dxa"/>
              <w:right w:w="100" w:type="dxa"/>
            </w:tcMar>
          </w:tcPr>
          <w:p>
            <w:pPr>
              <w:spacing w:before="20" w:after="20" w:line="240" w:lineRule="auto"/>
              <w:jc w:val="left"/>
            </w:pPr>
            <w:r>
              <w:rPr>
                <w:b/>
                <w:color w:val="263238"/>
                <w:sz w:val="18"/>
              </w:rPr>
              <w:t>DETAIL</w:t>
            </w:r>
          </w:p>
        </w:tc>
      </w:tr>
      <w:tr>
        <w:tc>
          <w:tcPr>
            <w:tcW w:w="2000" w:type="dxa"/>
            <w:tcMar>
              <w:top w:w="60" w:type="dxa"/>
              <w:left w:w="100" w:type="dxa"/>
              <w:bottom w:w="60" w:type="dxa"/>
              <w:right w:w="100" w:type="dxa"/>
            </w:tcMar>
          </w:tcPr>
          <w:p>
            <w:pPr>
              <w:spacing w:before="20" w:after="20" w:line="240" w:lineRule="auto"/>
              <w:jc w:val="left"/>
            </w:pPr>
            <w:r>
              <w:rPr>
                <w:color w:val="37474F"/>
                <w:sz w:val="18"/>
              </w:rPr>
              <w:t>Inputs</w:t>
            </w:r>
          </w:p>
        </w:tc>
        <w:tc>
          <w:tcPr>
            <w:tcW w:w="7300" w:type="dxa"/>
            <w:tcMar>
              <w:top w:w="60" w:type="dxa"/>
              <w:left w:w="100" w:type="dxa"/>
              <w:bottom w:w="60" w:type="dxa"/>
              <w:right w:w="100" w:type="dxa"/>
            </w:tcMar>
          </w:tcPr>
          <w:p>
            <w:pPr>
              <w:spacing w:before="20" w:after="20" w:line="240" w:lineRule="auto"/>
              <w:jc w:val="left"/>
            </w:pPr>
            <w:r>
              <w:rPr>
                <w:color w:val="37474F"/>
                <w:sz w:val="18"/>
              </w:rPr>
              <w:t>M5 OHLCV; own ATR(14) for tolerances</w:t>
            </w:r>
          </w:p>
        </w:tc>
      </w:tr>
      <w:tr>
        <w:tc>
          <w:tcPr>
            <w:tcW w:w="2000" w:type="dxa"/>
            <w:tcMar>
              <w:top w:w="60" w:type="dxa"/>
              <w:left w:w="100" w:type="dxa"/>
              <w:bottom w:w="60" w:type="dxa"/>
              <w:right w:w="100" w:type="dxa"/>
            </w:tcMar>
          </w:tcPr>
          <w:p>
            <w:pPr>
              <w:spacing w:before="20" w:after="20" w:line="240" w:lineRule="auto"/>
              <w:jc w:val="left"/>
            </w:pPr>
            <w:r>
              <w:rPr>
                <w:color w:val="37474F"/>
                <w:sz w:val="18"/>
              </w:rPr>
              <w:t>Outputs</w:t>
            </w:r>
          </w:p>
        </w:tc>
        <w:tc>
          <w:tcPr>
            <w:tcW w:w="7300" w:type="dxa"/>
            <w:tcMar>
              <w:top w:w="60" w:type="dxa"/>
              <w:left w:w="100" w:type="dxa"/>
              <w:bottom w:w="60" w:type="dxa"/>
              <w:right w:w="100" w:type="dxa"/>
            </w:tcMar>
          </w:tcPr>
          <w:p>
            <w:pPr>
              <w:spacing w:before="20" w:after="20" w:line="240" w:lineRule="auto"/>
              <w:jc w:val="left"/>
            </w:pPr>
            <w:r>
              <w:rPr>
                <w:color w:val="37474F"/>
                <w:sz w:val="18"/>
              </w:rPr>
              <w:t>SwingTrend/InternalTrend, Bull/Bear BOS &amp; CHoCH, SwingHigh/Low(i), HasEQH/HasEQL(level), FVGCount/GetFVG, OBCount/GetOB, PriceInBullish/Bearish OB/FVG, Day/PrevDay/Week/Month High-Low, RangeHigh/Low, Equilibrium, InPremium/InDiscount, SweepUp/SweepDown</w:t>
            </w:r>
          </w:p>
        </w:tc>
      </w:tr>
      <w:tr>
        <w:tc>
          <w:tcPr>
            <w:tcW w:w="2000" w:type="dxa"/>
            <w:tcMar>
              <w:top w:w="60" w:type="dxa"/>
              <w:left w:w="100" w:type="dxa"/>
              <w:bottom w:w="60" w:type="dxa"/>
              <w:right w:w="100" w:type="dxa"/>
            </w:tcMar>
          </w:tcPr>
          <w:p>
            <w:pPr>
              <w:spacing w:before="20" w:after="20" w:line="240" w:lineRule="auto"/>
              <w:jc w:val="left"/>
            </w:pPr>
            <w:r>
              <w:rPr>
                <w:color w:val="37474F"/>
                <w:sz w:val="18"/>
              </w:rPr>
              <w:t>Config</w:t>
            </w:r>
          </w:p>
        </w:tc>
        <w:tc>
          <w:tcPr>
            <w:tcW w:w="7300" w:type="dxa"/>
            <w:tcMar>
              <w:top w:w="60" w:type="dxa"/>
              <w:left w:w="100" w:type="dxa"/>
              <w:bottom w:w="60" w:type="dxa"/>
              <w:right w:w="100" w:type="dxa"/>
            </w:tcMar>
          </w:tcPr>
          <w:p>
            <w:pPr>
              <w:spacing w:before="20" w:after="20" w:line="240" w:lineRule="auto"/>
              <w:jc w:val="left"/>
            </w:pPr>
            <w:r>
              <w:rPr>
                <w:color w:val="37474F"/>
                <w:sz w:val="18"/>
              </w:rPr>
              <w:t>SwingLen (5; internal 2), EqTolATR (0.25), FvgMinATR (0.15), SignalValidBars (12), MaxZonesKept (20)</w:t>
            </w:r>
          </w:p>
        </w:tc>
      </w:tr>
      <w:tr>
        <w:tc>
          <w:tcPr>
            <w:tcW w:w="2000" w:type="dxa"/>
            <w:tcMar>
              <w:top w:w="60" w:type="dxa"/>
              <w:left w:w="100" w:type="dxa"/>
              <w:bottom w:w="60" w:type="dxa"/>
              <w:right w:w="100" w:type="dxa"/>
            </w:tcMar>
          </w:tcPr>
          <w:p>
            <w:pPr>
              <w:spacing w:before="20" w:after="20" w:line="240" w:lineRule="auto"/>
              <w:jc w:val="left"/>
            </w:pPr>
            <w:r>
              <w:rPr>
                <w:color w:val="37474F"/>
                <w:sz w:val="18"/>
              </w:rPr>
              <w:t>Used by</w:t>
            </w:r>
          </w:p>
        </w:tc>
        <w:tc>
          <w:tcPr>
            <w:tcW w:w="7300" w:type="dxa"/>
            <w:tcMar>
              <w:top w:w="60" w:type="dxa"/>
              <w:left w:w="100" w:type="dxa"/>
              <w:bottom w:w="60" w:type="dxa"/>
              <w:right w:w="100" w:type="dxa"/>
            </w:tcMar>
          </w:tcPr>
          <w:p>
            <w:pPr>
              <w:spacing w:before="20" w:after="20" w:line="240" w:lineRule="auto"/>
              <w:jc w:val="left"/>
            </w:pPr>
            <w:r>
              <w:rPr>
                <w:color w:val="37474F"/>
                <w:sz w:val="18"/>
              </w:rPr>
              <w:t>SignalEngine group 5 (weight 20 — highest); AMDTracker; Indicator</w:t>
            </w:r>
          </w:p>
        </w:tc>
      </w:tr>
    </w:tbl>
    <w:p>
      <w:r>
        <w:t>Structure is tracked on two horizons simultaneously: swing structure (5-bar fractals each side) defines the auction's skeleton; internal structure (2-bar fractals) captures the scalping texture inside it. Trends are labelled strictly from confirmed swings: two higher highs and two higher lows for up, mirror for down.</w:t>
      </w:r>
    </w:p>
    <w:tbl>
      <w:tblPr>
        <w:tblW w:w="5000" w:type="pct"/>
        <w:tblBorders>
          <w:top w:val="single" w:color="B8860B" w:sz="12"/>
          <w:bottom w:val="single" w:color="B8860B" w:sz="12"/>
          <w:insideH w:val="single" w:color="CFD8DC" w:sz="4"/>
          <w:insideV w:val="single" w:color="CFD8DC" w:sz="4"/>
        </w:tblBorders>
      </w:tblPr>
      <w:tblGrid>
        <w:gridCol w:w="2600"/>
        <w:gridCol w:w="6700"/>
      </w:tblGrid>
      <w:tr>
        <w:trPr>
          <w:tblHeader/>
        </w:trPr>
        <w:tc>
          <w:tcPr>
            <w:tcW w:w="2600" w:type="dxa"/>
            <w:shd w:val="clear" w:fill="ECEFF1"/>
            <w:tcMar>
              <w:top w:w="60" w:type="dxa"/>
              <w:left w:w="100" w:type="dxa"/>
              <w:bottom w:w="60" w:type="dxa"/>
              <w:right w:w="100" w:type="dxa"/>
            </w:tcMar>
          </w:tcPr>
          <w:p>
            <w:pPr>
              <w:spacing w:before="20" w:after="20" w:line="240" w:lineRule="auto"/>
              <w:jc w:val="left"/>
            </w:pPr>
            <w:r>
              <w:rPr>
                <w:b/>
                <w:color w:val="263238"/>
                <w:sz w:val="18"/>
              </w:rPr>
              <w:t>CONCEPT</w:t>
            </w:r>
          </w:p>
        </w:tc>
        <w:tc>
          <w:tcPr>
            <w:tcW w:w="6700" w:type="dxa"/>
            <w:shd w:val="clear" w:fill="ECEFF1"/>
            <w:tcMar>
              <w:top w:w="60" w:type="dxa"/>
              <w:left w:w="100" w:type="dxa"/>
              <w:bottom w:w="60" w:type="dxa"/>
              <w:right w:w="100" w:type="dxa"/>
            </w:tcMar>
          </w:tcPr>
          <w:p>
            <w:pPr>
              <w:spacing w:before="20" w:after="20" w:line="240" w:lineRule="auto"/>
              <w:jc w:val="left"/>
            </w:pPr>
            <w:r>
              <w:rPr>
                <w:b/>
                <w:color w:val="263238"/>
                <w:sz w:val="18"/>
              </w:rPr>
              <w:t>PRECISE RULE</w:t>
            </w:r>
          </w:p>
        </w:tc>
      </w:tr>
      <w:tr>
        <w:tc>
          <w:tcPr>
            <w:tcW w:w="2600" w:type="dxa"/>
            <w:tcMar>
              <w:top w:w="60" w:type="dxa"/>
              <w:left w:w="100" w:type="dxa"/>
              <w:bottom w:w="60" w:type="dxa"/>
              <w:right w:w="100" w:type="dxa"/>
            </w:tcMar>
          </w:tcPr>
          <w:p>
            <w:pPr>
              <w:spacing w:before="20" w:after="20" w:line="240" w:lineRule="auto"/>
              <w:jc w:val="left"/>
            </w:pPr>
            <w:r>
              <w:rPr>
                <w:color w:val="37474F"/>
                <w:sz w:val="18"/>
              </w:rPr>
              <w:t>BOS (break of structure)</w:t>
            </w:r>
          </w:p>
        </w:tc>
        <w:tc>
          <w:tcPr>
            <w:tcW w:w="6700" w:type="dxa"/>
            <w:tcMar>
              <w:top w:w="60" w:type="dxa"/>
              <w:left w:w="100" w:type="dxa"/>
              <w:bottom w:w="60" w:type="dxa"/>
              <w:right w:w="100" w:type="dxa"/>
            </w:tcMar>
          </w:tcPr>
          <w:p>
            <w:pPr>
              <w:spacing w:before="20" w:after="20" w:line="240" w:lineRule="auto"/>
              <w:jc w:val="left"/>
            </w:pPr>
            <w:r>
              <w:rPr>
                <w:color w:val="37474F"/>
                <w:sz w:val="18"/>
              </w:rPr>
              <w:t>Close beyond the most recent opposing swing point in trend direction; fresh for 12 bars</w:t>
            </w:r>
          </w:p>
        </w:tc>
      </w:tr>
      <w:tr>
        <w:tc>
          <w:tcPr>
            <w:tcW w:w="2600" w:type="dxa"/>
            <w:tcMar>
              <w:top w:w="60" w:type="dxa"/>
              <w:left w:w="100" w:type="dxa"/>
              <w:bottom w:w="60" w:type="dxa"/>
              <w:right w:w="100" w:type="dxa"/>
            </w:tcMar>
          </w:tcPr>
          <w:p>
            <w:pPr>
              <w:spacing w:before="20" w:after="20" w:line="240" w:lineRule="auto"/>
              <w:jc w:val="left"/>
            </w:pPr>
            <w:r>
              <w:rPr>
                <w:color w:val="37474F"/>
                <w:sz w:val="18"/>
              </w:rPr>
              <w:t>CHoCH (change of character)</w:t>
            </w:r>
          </w:p>
        </w:tc>
        <w:tc>
          <w:tcPr>
            <w:tcW w:w="6700" w:type="dxa"/>
            <w:tcMar>
              <w:top w:w="60" w:type="dxa"/>
              <w:left w:w="100" w:type="dxa"/>
              <w:bottom w:w="60" w:type="dxa"/>
              <w:right w:w="100" w:type="dxa"/>
            </w:tcMar>
          </w:tcPr>
          <w:p>
            <w:pPr>
              <w:spacing w:before="20" w:after="20" w:line="240" w:lineRule="auto"/>
              <w:jc w:val="left"/>
            </w:pPr>
            <w:r>
              <w:rPr>
                <w:color w:val="37474F"/>
                <w:sz w:val="18"/>
              </w:rPr>
              <w:t>While trend state is down: close above the last lower-high (mirror for up) — first reversal evidence</w:t>
            </w:r>
          </w:p>
        </w:tc>
      </w:tr>
      <w:tr>
        <w:tc>
          <w:tcPr>
            <w:tcW w:w="2600" w:type="dxa"/>
            <w:tcMar>
              <w:top w:w="60" w:type="dxa"/>
              <w:left w:w="100" w:type="dxa"/>
              <w:bottom w:w="60" w:type="dxa"/>
              <w:right w:w="100" w:type="dxa"/>
            </w:tcMar>
          </w:tcPr>
          <w:p>
            <w:pPr>
              <w:spacing w:before="20" w:after="20" w:line="240" w:lineRule="auto"/>
              <w:jc w:val="left"/>
            </w:pPr>
            <w:r>
              <w:rPr>
                <w:color w:val="37474F"/>
                <w:sz w:val="18"/>
              </w:rPr>
              <w:t>Equal highs/lows</w:t>
            </w:r>
          </w:p>
        </w:tc>
        <w:tc>
          <w:tcPr>
            <w:tcW w:w="6700" w:type="dxa"/>
            <w:tcMar>
              <w:top w:w="60" w:type="dxa"/>
              <w:left w:w="100" w:type="dxa"/>
              <w:bottom w:w="60" w:type="dxa"/>
              <w:right w:w="100" w:type="dxa"/>
            </w:tcMar>
          </w:tcPr>
          <w:p>
            <w:pPr>
              <w:spacing w:before="20" w:after="20" w:line="240" w:lineRule="auto"/>
              <w:jc w:val="left"/>
            </w:pPr>
            <w:r>
              <w:rPr>
                <w:color w:val="37474F"/>
                <w:sz w:val="18"/>
              </w:rPr>
              <w:t>2+ swing highs (or lows) clustered within 0.25xATR — resting liquidity pools</w:t>
            </w:r>
          </w:p>
        </w:tc>
      </w:tr>
      <w:tr>
        <w:tc>
          <w:tcPr>
            <w:tcW w:w="2600" w:type="dxa"/>
            <w:tcMar>
              <w:top w:w="60" w:type="dxa"/>
              <w:left w:w="100" w:type="dxa"/>
              <w:bottom w:w="60" w:type="dxa"/>
              <w:right w:w="100" w:type="dxa"/>
            </w:tcMar>
          </w:tcPr>
          <w:p>
            <w:pPr>
              <w:spacing w:before="20" w:after="20" w:line="240" w:lineRule="auto"/>
              <w:jc w:val="left"/>
            </w:pPr>
            <w:r>
              <w:rPr>
                <w:color w:val="37474F"/>
                <w:sz w:val="18"/>
              </w:rPr>
              <w:t>Fair value gap</w:t>
            </w:r>
          </w:p>
        </w:tc>
        <w:tc>
          <w:tcPr>
            <w:tcW w:w="6700" w:type="dxa"/>
            <w:tcMar>
              <w:top w:w="60" w:type="dxa"/>
              <w:left w:w="100" w:type="dxa"/>
              <w:bottom w:w="60" w:type="dxa"/>
              <w:right w:w="100" w:type="dxa"/>
            </w:tcMar>
          </w:tcPr>
          <w:p>
            <w:pPr>
              <w:spacing w:before="20" w:after="20" w:line="240" w:lineRule="auto"/>
              <w:jc w:val="left"/>
            </w:pPr>
            <w:r>
              <w:rPr>
                <w:color w:val="37474F"/>
                <w:sz w:val="18"/>
              </w:rPr>
              <w:t>3-bar gap: bull FVG when low[i] &gt; high[i-2]; min size 0.15xATR; mitigated when price re-enters</w:t>
            </w:r>
          </w:p>
        </w:tc>
      </w:tr>
      <w:tr>
        <w:tc>
          <w:tcPr>
            <w:tcW w:w="2600" w:type="dxa"/>
            <w:tcMar>
              <w:top w:w="60" w:type="dxa"/>
              <w:left w:w="100" w:type="dxa"/>
              <w:bottom w:w="60" w:type="dxa"/>
              <w:right w:w="100" w:type="dxa"/>
            </w:tcMar>
          </w:tcPr>
          <w:p>
            <w:pPr>
              <w:spacing w:before="20" w:after="20" w:line="240" w:lineRule="auto"/>
              <w:jc w:val="left"/>
            </w:pPr>
            <w:r>
              <w:rPr>
                <w:color w:val="37474F"/>
                <w:sz w:val="18"/>
              </w:rPr>
              <w:t>Volumetric order block</w:t>
            </w:r>
          </w:p>
        </w:tc>
        <w:tc>
          <w:tcPr>
            <w:tcW w:w="6700" w:type="dxa"/>
            <w:tcMar>
              <w:top w:w="60" w:type="dxa"/>
              <w:left w:w="100" w:type="dxa"/>
              <w:bottom w:w="60" w:type="dxa"/>
              <w:right w:w="100" w:type="dxa"/>
            </w:tcMar>
          </w:tcPr>
          <w:p>
            <w:pPr>
              <w:spacing w:before="20" w:after="20" w:line="240" w:lineRule="auto"/>
              <w:jc w:val="left"/>
            </w:pPr>
            <w:r>
              <w:rPr>
                <w:color w:val="37474F"/>
                <w:sz w:val="18"/>
              </w:rPr>
              <w:t>Last opposite-color candle before a BOS impulse (search &lt;= 10 bars); strength = OB volume / avg volume(20), capped 0..2; internal (OBI) vs swing (OBS) tracked separately; invalidated by close through far edge</w:t>
            </w:r>
          </w:p>
        </w:tc>
      </w:tr>
      <w:tr>
        <w:tc>
          <w:tcPr>
            <w:tcW w:w="2600" w:type="dxa"/>
            <w:tcMar>
              <w:top w:w="60" w:type="dxa"/>
              <w:left w:w="100" w:type="dxa"/>
              <w:bottom w:w="60" w:type="dxa"/>
              <w:right w:w="100" w:type="dxa"/>
            </w:tcMar>
          </w:tcPr>
          <w:p>
            <w:pPr>
              <w:spacing w:before="20" w:after="20" w:line="240" w:lineRule="auto"/>
              <w:jc w:val="left"/>
            </w:pPr>
            <w:r>
              <w:rPr>
                <w:color w:val="37474F"/>
                <w:sz w:val="18"/>
              </w:rPr>
              <w:t>Premium / discount</w:t>
            </w:r>
          </w:p>
        </w:tc>
        <w:tc>
          <w:tcPr>
            <w:tcW w:w="6700" w:type="dxa"/>
            <w:tcMar>
              <w:top w:w="60" w:type="dxa"/>
              <w:left w:w="100" w:type="dxa"/>
              <w:bottom w:w="60" w:type="dxa"/>
              <w:right w:w="100" w:type="dxa"/>
            </w:tcMar>
          </w:tcPr>
          <w:p>
            <w:pPr>
              <w:spacing w:before="20" w:after="20" w:line="240" w:lineRule="auto"/>
              <w:jc w:val="left"/>
            </w:pPr>
            <w:r>
              <w:rPr>
                <w:color w:val="37474F"/>
                <w:sz w:val="18"/>
              </w:rPr>
              <w:t>Dealing range = last confirmed swing high + low; equilibrium = mid; above = premium (sell zone), below = discount (buy zone)</w:t>
            </w:r>
          </w:p>
        </w:tc>
      </w:tr>
      <w:tr>
        <w:tc>
          <w:tcPr>
            <w:tcW w:w="2600" w:type="dxa"/>
            <w:tcMar>
              <w:top w:w="60" w:type="dxa"/>
              <w:left w:w="100" w:type="dxa"/>
              <w:bottom w:w="60" w:type="dxa"/>
              <w:right w:w="100" w:type="dxa"/>
            </w:tcMar>
          </w:tcPr>
          <w:p>
            <w:pPr>
              <w:spacing w:before="20" w:after="20" w:line="240" w:lineRule="auto"/>
              <w:jc w:val="left"/>
            </w:pPr>
            <w:r>
              <w:rPr>
                <w:color w:val="37474F"/>
                <w:sz w:val="18"/>
              </w:rPr>
              <w:t>Sweep (liquidity raid)</w:t>
            </w:r>
          </w:p>
        </w:tc>
        <w:tc>
          <w:tcPr>
            <w:tcW w:w="6700" w:type="dxa"/>
            <w:tcMar>
              <w:top w:w="60" w:type="dxa"/>
              <w:left w:w="100" w:type="dxa"/>
              <w:bottom w:w="60" w:type="dxa"/>
              <w:right w:w="100" w:type="dxa"/>
            </w:tcMar>
          </w:tcPr>
          <w:p>
            <w:pPr>
              <w:spacing w:before="20" w:after="20" w:line="240" w:lineRule="auto"/>
              <w:jc w:val="left"/>
            </w:pPr>
            <w:r>
              <w:rPr>
                <w:color w:val="37474F"/>
                <w:sz w:val="18"/>
              </w:rPr>
              <w:t>Wick beyond EQH/EQL or last swing, then close back inside — the manipulation fingerprint</w:t>
            </w:r>
          </w:p>
        </w:tc>
      </w:tr>
      <w:tr>
        <w:tc>
          <w:tcPr>
            <w:tcW w:w="2600" w:type="dxa"/>
            <w:tcMar>
              <w:top w:w="60" w:type="dxa"/>
              <w:left w:w="100" w:type="dxa"/>
              <w:bottom w:w="60" w:type="dxa"/>
              <w:right w:w="100" w:type="dxa"/>
            </w:tcMar>
          </w:tcPr>
          <w:p>
            <w:pPr>
              <w:spacing w:before="20" w:after="20" w:line="240" w:lineRule="auto"/>
              <w:jc w:val="left"/>
            </w:pPr>
            <w:r>
              <w:rPr>
                <w:color w:val="37474F"/>
                <w:sz w:val="18"/>
              </w:rPr>
              <w:t>D/W/M highs &amp; lows</w:t>
            </w:r>
          </w:p>
        </w:tc>
        <w:tc>
          <w:tcPr>
            <w:tcW w:w="6700" w:type="dxa"/>
            <w:tcMar>
              <w:top w:w="60" w:type="dxa"/>
              <w:left w:w="100" w:type="dxa"/>
              <w:bottom w:w="60" w:type="dxa"/>
              <w:right w:w="100" w:type="dxa"/>
            </w:tcMar>
          </w:tcPr>
          <w:p>
            <w:pPr>
              <w:spacing w:before="20" w:after="20" w:line="240" w:lineRule="auto"/>
              <w:jc w:val="left"/>
            </w:pPr>
            <w:r>
              <w:rPr>
                <w:color w:val="37474F"/>
                <w:sz w:val="18"/>
              </w:rPr>
              <w:t>Current and previous day, week, month extremes — the levels every desk watches</w:t>
            </w:r>
          </w:p>
        </w:tc>
      </w:tr>
    </w:tbl>
    <w:tbl>
      <w:tblPr>
        <w:tblW w:w="5000" w:type="pct"/>
        <w:tblBorders>
          <w:top w:val="single" w:color="B8860B" w:sz="6"/>
          <w:left w:val="single" w:color="B8860B" w:sz="6"/>
          <w:bottom w:val="single" w:color="B8860B" w:sz="6"/>
          <w:right w:val="single" w:color="B8860B" w:sz="6"/>
        </w:tblBorders>
      </w:tblPr>
      <w:tblGrid>
        <w:gridCol w:w="9300"/>
      </w:tblGrid>
      <w:tr>
        <w:tc>
          <w:tcPr>
            <w:tcW w:w="9300" w:type="dxa"/>
            <w:shd w:val="clear" w:fill="1C262B"/>
            <w:tcMar>
              <w:top w:w="80" w:type="dxa"/>
              <w:left w:w="160" w:type="dxa"/>
              <w:bottom w:w="80" w:type="dxa"/>
            </w:tcMar>
          </w:tcPr>
          <w:p>
            <w:r>
              <w:rPr>
                <w:rFonts w:ascii="Consolas" w:hAnsi="Consolas"/>
                <w:b/>
                <w:color w:val="D4AF37"/>
                <w:sz w:val="17"/>
              </w:rPr>
              <w:t>MARKET STRUCTURE — pseudo-code (event sequence)</w:t>
            </w:r>
          </w:p>
        </w:tc>
      </w:tr>
      <w:tr>
        <w:tc>
          <w:tcPr>
            <w:tcW w:w="9300" w:type="dxa"/>
            <w:shd w:val="clear" w:fill="263238"/>
            <w:tcMar>
              <w:top w:w="100" w:type="dxa"/>
              <w:left w:w="160" w:type="dxa"/>
              <w:bottom w:w="100" w:type="dxa"/>
              <w:right w:w="100" w:type="dxa"/>
            </w:tcMar>
          </w:tcPr>
          <w:p>
            <w:pPr>
              <w:spacing w:before="0" w:after="0" w:line="230" w:lineRule="auto"/>
            </w:pPr>
            <w:r>
              <w:rPr>
                <w:rFonts w:ascii="Consolas" w:hAnsi="Consolas"/>
                <w:color w:val="ECEFF1"/>
                <w:sz w:val="16"/>
              </w:rPr>
              <w:t xml:space="preserve">ON NEW M5 BAR:</w:t>
            </w:r>
          </w:p>
          <w:p>
            <w:pPr>
              <w:spacing w:before="0" w:after="0" w:line="230" w:lineRule="auto"/>
            </w:pPr>
            <w:r>
              <w:rPr>
                <w:rFonts w:ascii="Consolas" w:hAnsi="Consolas"/>
                <w:color w:val="ECEFF1"/>
                <w:sz w:val="16"/>
              </w:rPr>
              <w:t xml:space="preserve">    confirm swing at bar[i-5], internal at bar[i-2]; keep last 10 each</w:t>
            </w:r>
          </w:p>
          <w:p>
            <w:pPr>
              <w:spacing w:before="0" w:after="0" w:line="230" w:lineRule="auto"/>
            </w:pPr>
            <w:r>
              <w:rPr>
                <w:rFonts w:ascii="Consolas" w:hAnsi="Consolas"/>
                <w:color w:val="ECEFF1"/>
                <w:sz w:val="16"/>
              </w:rPr>
              <w:t xml:space="preserve">    relabel SwingTrend / InternalTrend from last 2 highs + 2 lows</w:t>
            </w:r>
          </w:p>
          <w:p>
            <w:pPr>
              <w:spacing w:before="0" w:after="0" w:line="230" w:lineRule="auto"/>
            </w:pPr>
            <w:r>
              <w:rPr>
                <w:rFonts w:ascii="Consolas" w:hAnsi="Consolas"/>
                <w:color w:val="ECEFF1"/>
                <w:sz w:val="16"/>
              </w:rPr>
              <w:t xml:space="preserve">    IF close crosses last opposing swing:</w:t>
            </w:r>
          </w:p>
          <w:p>
            <w:pPr>
              <w:spacing w:before="0" w:after="0" w:line="230" w:lineRule="auto"/>
            </w:pPr>
            <w:r>
              <w:rPr>
                <w:rFonts w:ascii="Consolas" w:hAnsi="Consolas"/>
                <w:color w:val="ECEFF1"/>
                <w:sz w:val="16"/>
              </w:rPr>
              <w:t xml:space="preserve">        classify BOS (with trend) or CHoCH (against trend); stamp bar</w:t>
            </w:r>
          </w:p>
          <w:p>
            <w:pPr>
              <w:spacing w:before="0" w:after="0" w:line="230" w:lineRule="auto"/>
            </w:pPr>
            <w:r>
              <w:rPr>
                <w:rFonts w:ascii="Consolas" w:hAnsi="Consolas"/>
                <w:color w:val="ECEFF1"/>
                <w:sz w:val="16"/>
              </w:rPr>
              <w:t xml:space="preserve">        walk back &lt;= 10 bars: find last opposite candle -&gt; new OB</w:t>
            </w:r>
          </w:p>
          <w:p>
            <w:pPr>
              <w:spacing w:before="0" w:after="0" w:line="230" w:lineRule="auto"/>
            </w:pPr>
            <w:r>
              <w:rPr>
                <w:rFonts w:ascii="Consolas" w:hAnsi="Consolas"/>
                <w:color w:val="ECEFF1"/>
                <w:sz w:val="16"/>
              </w:rPr>
              <w:t xml:space="preserve">    scan for new FVG between bars i-2..i; update mitigation of all zones</w:t>
            </w:r>
          </w:p>
          <w:p>
            <w:pPr>
              <w:spacing w:before="0" w:after="0" w:line="230" w:lineRule="auto"/>
            </w:pPr>
            <w:r>
              <w:rPr>
                <w:rFonts w:ascii="Consolas" w:hAnsi="Consolas"/>
                <w:color w:val="ECEFF1"/>
                <w:sz w:val="16"/>
              </w:rPr>
              <w:t xml:space="preserve">    prune zone lists: unmitigated first, cap 20</w:t>
            </w:r>
          </w:p>
          <w:p>
            <w:pPr>
              <w:spacing w:before="0" w:after="0" w:line="230" w:lineRule="auto"/>
            </w:pPr>
            <w:r>
              <w:rPr>
                <w:rFonts w:ascii="Consolas" w:hAnsi="Consolas"/>
                <w:color w:val="ECEFF1"/>
                <w:sz w:val="16"/>
              </w:rPr>
              <w:t xml:space="preserve">    update EQH/EQL clusters from last 6 swings</w:t>
            </w:r>
          </w:p>
          <w:p>
            <w:pPr>
              <w:spacing w:before="0" w:after="0" w:line="230" w:lineRule="auto"/>
            </w:pPr>
            <w:r>
              <w:rPr>
                <w:rFonts w:ascii="Consolas" w:hAnsi="Consolas"/>
                <w:color w:val="ECEFF1"/>
                <w:sz w:val="16"/>
              </w:rPr>
              <w:t xml:space="preserve">    detect sweeps: wick beyond EQ/swing + close back inside -&gt; stamp bar</w:t>
            </w:r>
          </w:p>
          <w:p>
            <w:pPr>
              <w:spacing w:before="0" w:after="0" w:line="230" w:lineRule="auto"/>
            </w:pPr>
            <w:r>
              <w:rPr>
                <w:rFonts w:ascii="Consolas" w:hAnsi="Consolas"/>
                <w:color w:val="ECEFF1"/>
                <w:sz w:val="16"/>
              </w:rPr>
              <w:t xml:space="preserve">    recompute D/W/M highs-lows from server-time boundaries</w:t>
            </w:r>
          </w:p>
        </w:tc>
      </w:tr>
    </w:tbl>
    <w:p>
      <w:pPr>
        <w:pStyle w:val="Heading1"/>
      </w:pPr>
      <w:r>
        <w:t>09. AMD PHASE TRACKER</w:t>
      </w:r>
      <w:bookmarkStart w:name="_T11" w:id="11"/>
      <w:bookmarkEnd w:id="11"/>
    </w:p>
    <w:p>
      <w:pPr>
        <w:spacing w:after="240"/>
      </w:pPr>
      <w:r>
        <w:rPr>
          <w:i/>
          <w:color w:val="546E7A"/>
        </w:rPr>
        <w:t>Question answered: which act of the play are we in — accumulation, manipulation, or distribution?</w:t>
      </w:r>
    </w:p>
    <w:tbl>
      <w:tblPr>
        <w:tblW w:w="5000" w:type="pct"/>
        <w:tblBorders>
          <w:top w:val="single" w:color="B8860B" w:sz="12"/>
          <w:bottom w:val="single" w:color="B8860B" w:sz="12"/>
          <w:insideH w:val="single" w:color="CFD8DC" w:sz="4"/>
          <w:insideV w:val="single" w:color="CFD8DC" w:sz="4"/>
        </w:tblBorders>
      </w:tblPr>
      <w:tblGrid>
        <w:gridCol w:w="2000"/>
        <w:gridCol w:w="7300"/>
      </w:tblGrid>
      <w:tr>
        <w:trPr>
          <w:tblHeader/>
        </w:trPr>
        <w:tc>
          <w:tcPr>
            <w:tcW w:w="2000" w:type="dxa"/>
            <w:shd w:val="clear" w:fill="ECEFF1"/>
            <w:tcMar>
              <w:top w:w="60" w:type="dxa"/>
              <w:left w:w="100" w:type="dxa"/>
              <w:bottom w:w="60" w:type="dxa"/>
              <w:right w:w="100" w:type="dxa"/>
            </w:tcMar>
          </w:tcPr>
          <w:p>
            <w:pPr>
              <w:spacing w:before="20" w:after="20" w:line="240" w:lineRule="auto"/>
              <w:jc w:val="left"/>
            </w:pPr>
            <w:r>
              <w:rPr>
                <w:b/>
                <w:color w:val="263238"/>
                <w:sz w:val="18"/>
              </w:rPr>
              <w:t>CONTRACT</w:t>
            </w:r>
          </w:p>
        </w:tc>
        <w:tc>
          <w:tcPr>
            <w:tcW w:w="7300" w:type="dxa"/>
            <w:shd w:val="clear" w:fill="ECEFF1"/>
            <w:tcMar>
              <w:top w:w="60" w:type="dxa"/>
              <w:left w:w="100" w:type="dxa"/>
              <w:bottom w:w="60" w:type="dxa"/>
              <w:right w:w="100" w:type="dxa"/>
            </w:tcMar>
          </w:tcPr>
          <w:p>
            <w:pPr>
              <w:spacing w:before="20" w:after="20" w:line="240" w:lineRule="auto"/>
              <w:jc w:val="left"/>
            </w:pPr>
            <w:r>
              <w:rPr>
                <w:b/>
                <w:color w:val="263238"/>
                <w:sz w:val="18"/>
              </w:rPr>
              <w:t>DETAIL</w:t>
            </w:r>
          </w:p>
        </w:tc>
      </w:tr>
      <w:tr>
        <w:tc>
          <w:tcPr>
            <w:tcW w:w="2000" w:type="dxa"/>
            <w:tcMar>
              <w:top w:w="60" w:type="dxa"/>
              <w:left w:w="100" w:type="dxa"/>
              <w:bottom w:w="60" w:type="dxa"/>
              <w:right w:w="100" w:type="dxa"/>
            </w:tcMar>
          </w:tcPr>
          <w:p>
            <w:pPr>
              <w:spacing w:before="20" w:after="20" w:line="240" w:lineRule="auto"/>
              <w:jc w:val="left"/>
            </w:pPr>
            <w:r>
              <w:rPr>
                <w:color w:val="37474F"/>
                <w:sz w:val="18"/>
              </w:rPr>
              <w:t>Inputs</w:t>
            </w:r>
          </w:p>
        </w:tc>
        <w:tc>
          <w:tcPr>
            <w:tcW w:w="7300" w:type="dxa"/>
            <w:tcMar>
              <w:top w:w="60" w:type="dxa"/>
              <w:left w:w="100" w:type="dxa"/>
              <w:bottom w:w="60" w:type="dxa"/>
              <w:right w:w="100" w:type="dxa"/>
            </w:tcMar>
          </w:tcPr>
          <w:p>
            <w:pPr>
              <w:spacing w:before="20" w:after="20" w:line="240" w:lineRule="auto"/>
              <w:jc w:val="left"/>
            </w:pPr>
            <w:r>
              <w:rPr>
                <w:color w:val="37474F"/>
                <w:sz w:val="18"/>
              </w:rPr>
              <w:t>M5 OHLCV; DeltaFlow (cumulative delta, pressure, flips); MarketStructure (sweeps)</w:t>
            </w:r>
          </w:p>
        </w:tc>
      </w:tr>
      <w:tr>
        <w:tc>
          <w:tcPr>
            <w:tcW w:w="2000" w:type="dxa"/>
            <w:tcMar>
              <w:top w:w="60" w:type="dxa"/>
              <w:left w:w="100" w:type="dxa"/>
              <w:bottom w:w="60" w:type="dxa"/>
              <w:right w:w="100" w:type="dxa"/>
            </w:tcMar>
          </w:tcPr>
          <w:p>
            <w:pPr>
              <w:spacing w:before="20" w:after="20" w:line="240" w:lineRule="auto"/>
              <w:jc w:val="left"/>
            </w:pPr>
            <w:r>
              <w:rPr>
                <w:color w:val="37474F"/>
                <w:sz w:val="18"/>
              </w:rPr>
              <w:t>Outputs</w:t>
            </w:r>
          </w:p>
        </w:tc>
        <w:tc>
          <w:tcPr>
            <w:tcW w:w="7300" w:type="dxa"/>
            <w:tcMar>
              <w:top w:w="60" w:type="dxa"/>
              <w:left w:w="100" w:type="dxa"/>
              <w:bottom w:w="60" w:type="dxa"/>
              <w:right w:w="100" w:type="dxa"/>
            </w:tcMar>
          </w:tcPr>
          <w:p>
            <w:pPr>
              <w:spacing w:before="20" w:after="20" w:line="240" w:lineRule="auto"/>
              <w:jc w:val="left"/>
            </w:pPr>
            <w:r>
              <w:rPr>
                <w:color w:val="37474F"/>
                <w:sz w:val="18"/>
              </w:rPr>
              <w:t>Phase (NONE/ACCUMULATION/MANIPULATION/DISTRIBUTION), Confidence 0..1, Accumulating/Distributing/Manipulating flags, Describe() text</w:t>
            </w:r>
          </w:p>
        </w:tc>
      </w:tr>
      <w:tr>
        <w:tc>
          <w:tcPr>
            <w:tcW w:w="2000" w:type="dxa"/>
            <w:tcMar>
              <w:top w:w="60" w:type="dxa"/>
              <w:left w:w="100" w:type="dxa"/>
              <w:bottom w:w="60" w:type="dxa"/>
              <w:right w:w="100" w:type="dxa"/>
            </w:tcMar>
          </w:tcPr>
          <w:p>
            <w:pPr>
              <w:spacing w:before="20" w:after="20" w:line="240" w:lineRule="auto"/>
              <w:jc w:val="left"/>
            </w:pPr>
            <w:r>
              <w:rPr>
                <w:color w:val="37474F"/>
                <w:sz w:val="18"/>
              </w:rPr>
              <w:t>Config</w:t>
            </w:r>
          </w:p>
        </w:tc>
        <w:tc>
          <w:tcPr>
            <w:tcW w:w="7300" w:type="dxa"/>
            <w:tcMar>
              <w:top w:w="60" w:type="dxa"/>
              <w:left w:w="100" w:type="dxa"/>
              <w:bottom w:w="60" w:type="dxa"/>
              <w:right w:w="100" w:type="dxa"/>
            </w:tcMar>
          </w:tcPr>
          <w:p>
            <w:pPr>
              <w:spacing w:before="20" w:after="20" w:line="240" w:lineRule="auto"/>
              <w:jc w:val="left"/>
            </w:pPr>
            <w:r>
              <w:rPr>
                <w:color w:val="37474F"/>
                <w:sz w:val="18"/>
              </w:rPr>
              <w:t>20-bar analysis window; sweep freshness 5 bars</w:t>
            </w:r>
          </w:p>
        </w:tc>
      </w:tr>
      <w:tr>
        <w:tc>
          <w:tcPr>
            <w:tcW w:w="2000" w:type="dxa"/>
            <w:tcMar>
              <w:top w:w="60" w:type="dxa"/>
              <w:left w:w="100" w:type="dxa"/>
              <w:bottom w:w="60" w:type="dxa"/>
              <w:right w:w="100" w:type="dxa"/>
            </w:tcMar>
          </w:tcPr>
          <w:p>
            <w:pPr>
              <w:spacing w:before="20" w:after="20" w:line="240" w:lineRule="auto"/>
              <w:jc w:val="left"/>
            </w:pPr>
            <w:r>
              <w:rPr>
                <w:color w:val="37474F"/>
                <w:sz w:val="18"/>
              </w:rPr>
              <w:t>Used by</w:t>
            </w:r>
          </w:p>
        </w:tc>
        <w:tc>
          <w:tcPr>
            <w:tcW w:w="7300" w:type="dxa"/>
            <w:tcMar>
              <w:top w:w="60" w:type="dxa"/>
              <w:left w:w="100" w:type="dxa"/>
              <w:bottom w:w="60" w:type="dxa"/>
              <w:right w:w="100" w:type="dxa"/>
            </w:tcMar>
          </w:tcPr>
          <w:p>
            <w:pPr>
              <w:spacing w:before="20" w:after="20" w:line="240" w:lineRule="auto"/>
              <w:jc w:val="left"/>
            </w:pPr>
            <w:r>
              <w:rPr>
                <w:color w:val="37474F"/>
                <w:sz w:val="18"/>
              </w:rPr>
              <w:t>SignalEngine group 6 (weight 10)</w:t>
            </w:r>
          </w:p>
        </w:tc>
      </w:tr>
    </w:tbl>
    <w:tbl>
      <w:tblPr>
        <w:tblW w:w="5000" w:type="pct"/>
        <w:tblBorders>
          <w:top w:val="single" w:color="B8860B" w:sz="6"/>
          <w:left w:val="single" w:color="B8860B" w:sz="6"/>
          <w:bottom w:val="single" w:color="B8860B" w:sz="6"/>
          <w:right w:val="single" w:color="B8860B" w:sz="6"/>
        </w:tblBorders>
      </w:tblPr>
      <w:tblGrid>
        <w:gridCol w:w="9300"/>
      </w:tblGrid>
      <w:tr>
        <w:tc>
          <w:tcPr>
            <w:tcW w:w="9300" w:type="dxa"/>
            <w:shd w:val="clear" w:fill="1C262B"/>
            <w:tcMar>
              <w:top w:w="80" w:type="dxa"/>
              <w:left w:w="160" w:type="dxa"/>
              <w:bottom w:w="80" w:type="dxa"/>
            </w:tcMar>
          </w:tcPr>
          <w:p>
            <w:r>
              <w:rPr>
                <w:rFonts w:ascii="Consolas" w:hAnsi="Consolas"/>
                <w:b/>
                <w:color w:val="D4AF37"/>
                <w:sz w:val="17"/>
              </w:rPr>
              <w:t>AMD — pseudo-code</w:t>
            </w:r>
          </w:p>
        </w:tc>
      </w:tr>
      <w:tr>
        <w:tc>
          <w:tcPr>
            <w:tcW w:w="9300" w:type="dxa"/>
            <w:shd w:val="clear" w:fill="263238"/>
            <w:tcMar>
              <w:top w:w="100" w:type="dxa"/>
              <w:left w:w="160" w:type="dxa"/>
              <w:bottom w:w="100" w:type="dxa"/>
              <w:right w:w="100" w:type="dxa"/>
            </w:tcMar>
          </w:tcPr>
          <w:p>
            <w:pPr>
              <w:spacing w:before="0" w:after="0" w:line="230" w:lineRule="auto"/>
            </w:pPr>
            <w:r>
              <w:rPr>
                <w:rFonts w:ascii="Consolas" w:hAnsi="Consolas"/>
                <w:color w:val="ECEFF1"/>
                <w:sz w:val="16"/>
              </w:rPr>
              <w:t xml:space="preserve">priceSlope = SMA(close, last 10) vs SMA(close, prior 10)</w:t>
            </w:r>
          </w:p>
          <w:p>
            <w:pPr>
              <w:spacing w:before="0" w:after="0" w:line="230" w:lineRule="auto"/>
            </w:pPr>
            <w:r>
              <w:rPr>
                <w:rFonts w:ascii="Consolas" w:hAnsi="Consolas"/>
                <w:color w:val="ECEFF1"/>
                <w:sz w:val="16"/>
              </w:rPr>
              <w:t xml:space="preserve">volSlope   = SMA(volume, last 10) vs SMA(volume, prior 10)</w:t>
            </w:r>
          </w:p>
          <w:p>
            <w:pPr>
              <w:spacing w:before="0" w:after="0" w:line="230" w:lineRule="auto"/>
            </w:pPr>
            <w:r>
              <w:rPr>
                <w:rFonts w:ascii="Consolas" w:hAnsi="Consolas"/>
                <w:color w:val="ECEFF1"/>
                <w:sz w:val="16"/>
              </w:rPr>
              <w:t xml:space="preserve">ACCUMULATION: (priceSlope &gt; 0 AND volSlope &gt; 0)</w:t>
            </w:r>
          </w:p>
          <w:p>
            <w:pPr>
              <w:spacing w:before="0" w:after="0" w:line="230" w:lineRule="auto"/>
            </w:pPr>
            <w:r>
              <w:rPr>
                <w:rFonts w:ascii="Consolas" w:hAnsi="Consolas"/>
                <w:color w:val="ECEFF1"/>
                <w:sz w:val="16"/>
              </w:rPr>
              <w:t xml:space="preserve">           OR (20-bar range &lt; 1.2xATR AND CumDeltaSlope(20) &gt; 0)  // quiet loading</w:t>
            </w:r>
          </w:p>
          <w:p>
            <w:pPr>
              <w:spacing w:before="0" w:after="0" w:line="230" w:lineRule="auto"/>
            </w:pPr>
            <w:r>
              <w:rPr>
                <w:rFonts w:ascii="Consolas" w:hAnsi="Consolas"/>
                <w:color w:val="ECEFF1"/>
                <w:sz w:val="16"/>
              </w:rPr>
              <w:t xml:space="preserve">DISTRIBUTION: (priceSlope &lt; 0 AND volSlope &gt; 0)                  // heavy selling</w:t>
            </w:r>
          </w:p>
          <w:p>
            <w:pPr>
              <w:spacing w:before="0" w:after="0" w:line="230" w:lineRule="auto"/>
            </w:pPr>
            <w:r>
              <w:rPr>
                <w:rFonts w:ascii="Consolas" w:hAnsi="Consolas"/>
                <w:color w:val="ECEFF1"/>
                <w:sz w:val="16"/>
              </w:rPr>
              <w:t xml:space="preserve">MANIPULATION: sweep of lows + delta flips UP (or 3-bar pressure &gt; +0.2)</w:t>
            </w:r>
          </w:p>
          <w:p>
            <w:pPr>
              <w:spacing w:before="0" w:after="0" w:line="230" w:lineRule="auto"/>
            </w:pPr>
            <w:r>
              <w:rPr>
                <w:rFonts w:ascii="Consolas" w:hAnsi="Consolas"/>
                <w:color w:val="ECEFF1"/>
                <w:sz w:val="16"/>
              </w:rPr>
              <w:t xml:space="preserve">            OR sweep of highs + delta flips DOWN (mirror)</w:t>
            </w:r>
          </w:p>
          <w:p>
            <w:pPr>
              <w:spacing w:before="0" w:after="0" w:line="230" w:lineRule="auto"/>
            </w:pPr>
            <w:r>
              <w:rPr>
                <w:rFonts w:ascii="Consolas" w:hAnsi="Consolas"/>
                <w:color w:val="ECEFF1"/>
                <w:sz w:val="16"/>
              </w:rPr>
              <w:t xml:space="preserve">PRIORITY: MANIPULATION &gt; stronger of ACC/DIS &gt; NONE</w:t>
            </w:r>
          </w:p>
          <w:p>
            <w:pPr>
              <w:spacing w:before="0" w:after="0" w:line="230" w:lineRule="auto"/>
            </w:pPr>
            <w:r>
              <w:rPr>
                <w:rFonts w:ascii="Consolas" w:hAnsi="Consolas"/>
                <w:color w:val="ECEFF1"/>
                <w:sz w:val="16"/>
              </w:rPr>
              <w:t xml:space="preserve">Confidence = blend of |priceSlope|/ATR, |volSlope|, delta alignment</w:t>
            </w:r>
          </w:p>
        </w:tc>
      </w:tr>
    </w:tbl>
    <w:p>
      <w:pPr>
        <w:pStyle w:val="Heading1"/>
      </w:pPr>
      <w:r>
        <w:t>10. THREE-TIER LEVEL-2 ORDER BOOK</w:t>
      </w:r>
      <w:bookmarkStart w:name="_T12" w:id="12"/>
      <w:bookmarkEnd w:id="12"/>
    </w:p>
    <w:p>
      <w:pPr>
        <w:spacing w:after="240"/>
      </w:pPr>
      <w:r>
        <w:rPr>
          <w:i/>
          <w:color w:val="546E7A"/>
        </w:rPr>
        <w:t>Question answered: what does the immediate supply/demand balance look like — on ANY broker feed? v2.0: the book never goes blind.</w:t>
      </w:r>
    </w:p>
    <w:tbl>
      <w:tblPr>
        <w:tblW w:w="5000" w:type="pct"/>
        <w:tblBorders>
          <w:top w:val="single" w:color="B8860B" w:sz="12"/>
          <w:bottom w:val="single" w:color="B8860B" w:sz="12"/>
          <w:insideH w:val="single" w:color="CFD8DC" w:sz="4"/>
          <w:insideV w:val="single" w:color="CFD8DC" w:sz="4"/>
        </w:tblBorders>
      </w:tblPr>
      <w:tblGrid>
        <w:gridCol w:w="2000"/>
        <w:gridCol w:w="7300"/>
      </w:tblGrid>
      <w:tr>
        <w:trPr>
          <w:tblHeader/>
        </w:trPr>
        <w:tc>
          <w:tcPr>
            <w:tcW w:w="2000" w:type="dxa"/>
            <w:shd w:val="clear" w:fill="ECEFF1"/>
            <w:tcMar>
              <w:top w:w="60" w:type="dxa"/>
              <w:left w:w="100" w:type="dxa"/>
              <w:bottom w:w="60" w:type="dxa"/>
              <w:right w:w="100" w:type="dxa"/>
            </w:tcMar>
          </w:tcPr>
          <w:p>
            <w:pPr>
              <w:spacing w:before="20" w:after="20" w:line="240" w:lineRule="auto"/>
              <w:jc w:val="left"/>
            </w:pPr>
            <w:r>
              <w:rPr>
                <w:b/>
                <w:color w:val="263238"/>
                <w:sz w:val="18"/>
              </w:rPr>
              <w:t>CONTRACT</w:t>
            </w:r>
          </w:p>
        </w:tc>
        <w:tc>
          <w:tcPr>
            <w:tcW w:w="7300" w:type="dxa"/>
            <w:shd w:val="clear" w:fill="ECEFF1"/>
            <w:tcMar>
              <w:top w:w="60" w:type="dxa"/>
              <w:left w:w="100" w:type="dxa"/>
              <w:bottom w:w="60" w:type="dxa"/>
              <w:right w:w="100" w:type="dxa"/>
            </w:tcMar>
          </w:tcPr>
          <w:p>
            <w:pPr>
              <w:spacing w:before="20" w:after="20" w:line="240" w:lineRule="auto"/>
              <w:jc w:val="left"/>
            </w:pPr>
            <w:r>
              <w:rPr>
                <w:b/>
                <w:color w:val="263238"/>
                <w:sz w:val="18"/>
              </w:rPr>
              <w:t>DETAIL</w:t>
            </w:r>
          </w:p>
        </w:tc>
      </w:tr>
      <w:tr>
        <w:tc>
          <w:tcPr>
            <w:tcW w:w="2000" w:type="dxa"/>
            <w:tcMar>
              <w:top w:w="60" w:type="dxa"/>
              <w:left w:w="100" w:type="dxa"/>
              <w:bottom w:w="60" w:type="dxa"/>
              <w:right w:w="100" w:type="dxa"/>
            </w:tcMar>
          </w:tcPr>
          <w:p>
            <w:pPr>
              <w:spacing w:before="20" w:after="20" w:line="240" w:lineRule="auto"/>
              <w:jc w:val="left"/>
            </w:pPr>
            <w:r>
              <w:rPr>
                <w:color w:val="37474F"/>
                <w:sz w:val="18"/>
              </w:rPr>
              <w:t>Inputs</w:t>
            </w:r>
          </w:p>
        </w:tc>
        <w:tc>
          <w:tcPr>
            <w:tcW w:w="7300" w:type="dxa"/>
            <w:tcMar>
              <w:top w:w="60" w:type="dxa"/>
              <w:left w:w="100" w:type="dxa"/>
              <w:bottom w:w="60" w:type="dxa"/>
              <w:right w:w="100" w:type="dxa"/>
            </w:tcMar>
          </w:tcPr>
          <w:p>
            <w:pPr>
              <w:spacing w:before="20" w:after="20" w:line="240" w:lineRule="auto"/>
              <w:jc w:val="left"/>
            </w:pPr>
            <w:r>
              <w:rPr>
                <w:color w:val="37474F"/>
                <w:sz w:val="18"/>
              </w:rPr>
              <w:t>Native DOM (when broker publishes); raw tick stream (always)</w:t>
            </w:r>
          </w:p>
        </w:tc>
      </w:tr>
      <w:tr>
        <w:tc>
          <w:tcPr>
            <w:tcW w:w="2000" w:type="dxa"/>
            <w:tcMar>
              <w:top w:w="60" w:type="dxa"/>
              <w:left w:w="100" w:type="dxa"/>
              <w:bottom w:w="60" w:type="dxa"/>
              <w:right w:w="100" w:type="dxa"/>
            </w:tcMar>
          </w:tcPr>
          <w:p>
            <w:pPr>
              <w:spacing w:before="20" w:after="20" w:line="240" w:lineRule="auto"/>
              <w:jc w:val="left"/>
            </w:pPr>
            <w:r>
              <w:rPr>
                <w:color w:val="37474F"/>
                <w:sz w:val="18"/>
              </w:rPr>
              <w:t>Outputs</w:t>
            </w:r>
          </w:p>
        </w:tc>
        <w:tc>
          <w:tcPr>
            <w:tcW w:w="7300" w:type="dxa"/>
            <w:tcMar>
              <w:top w:w="60" w:type="dxa"/>
              <w:left w:w="100" w:type="dxa"/>
              <w:bottom w:w="60" w:type="dxa"/>
              <w:right w:w="100" w:type="dxa"/>
            </w:tcMar>
          </w:tcPr>
          <w:p>
            <w:pPr>
              <w:spacing w:before="20" w:after="20" w:line="240" w:lineRule="auto"/>
              <w:jc w:val="left"/>
            </w:pPr>
            <w:r>
              <w:rPr>
                <w:color w:val="37474F"/>
                <w:sz w:val="18"/>
              </w:rPr>
              <w:t>DataTier (2=DOM, 1=SYNTH, 0=TAPE), TierStr, Imbalance (tier-aware), OFI -1..1, SyntheticImbalance, NearestWall(above), BidDepthLots/AskDepthLots, SpreadPoints, TickSpeed</w:t>
            </w:r>
          </w:p>
        </w:tc>
      </w:tr>
      <w:tr>
        <w:tc>
          <w:tcPr>
            <w:tcW w:w="2000" w:type="dxa"/>
            <w:tcMar>
              <w:top w:w="60" w:type="dxa"/>
              <w:left w:w="100" w:type="dxa"/>
              <w:bottom w:w="60" w:type="dxa"/>
              <w:right w:w="100" w:type="dxa"/>
            </w:tcMar>
          </w:tcPr>
          <w:p>
            <w:pPr>
              <w:spacing w:before="20" w:after="20" w:line="240" w:lineRule="auto"/>
              <w:jc w:val="left"/>
            </w:pPr>
            <w:r>
              <w:rPr>
                <w:color w:val="37474F"/>
                <w:sz w:val="18"/>
              </w:rPr>
              <w:t>Config</w:t>
            </w:r>
          </w:p>
        </w:tc>
        <w:tc>
          <w:tcPr>
            <w:tcW w:w="7300" w:type="dxa"/>
            <w:tcMar>
              <w:top w:w="60" w:type="dxa"/>
              <w:left w:w="100" w:type="dxa"/>
              <w:bottom w:w="60" w:type="dxa"/>
              <w:right w:w="100" w:type="dxa"/>
            </w:tcMar>
          </w:tcPr>
          <w:p>
            <w:pPr>
              <w:spacing w:before="20" w:after="20" w:line="240" w:lineRule="auto"/>
              <w:jc w:val="left"/>
            </w:pPr>
            <w:r>
              <w:rPr>
                <w:color w:val="37474F"/>
                <w:sz w:val="18"/>
              </w:rPr>
              <w:t>UseOrderBook, BookImbalanceMin (0.15), BookSynthWindowSec (1800), BookLadderBins (40), OFIMin (0.10)</w:t>
            </w:r>
          </w:p>
        </w:tc>
      </w:tr>
      <w:tr>
        <w:tc>
          <w:tcPr>
            <w:tcW w:w="2000" w:type="dxa"/>
            <w:tcMar>
              <w:top w:w="60" w:type="dxa"/>
              <w:left w:w="100" w:type="dxa"/>
              <w:bottom w:w="60" w:type="dxa"/>
              <w:right w:w="100" w:type="dxa"/>
            </w:tcMar>
          </w:tcPr>
          <w:p>
            <w:pPr>
              <w:spacing w:before="20" w:after="20" w:line="240" w:lineRule="auto"/>
              <w:jc w:val="left"/>
            </w:pPr>
            <w:r>
              <w:rPr>
                <w:color w:val="37474F"/>
                <w:sz w:val="18"/>
              </w:rPr>
              <w:t>Used by</w:t>
            </w:r>
          </w:p>
        </w:tc>
        <w:tc>
          <w:tcPr>
            <w:tcW w:w="7300" w:type="dxa"/>
            <w:tcMar>
              <w:top w:w="60" w:type="dxa"/>
              <w:left w:w="100" w:type="dxa"/>
              <w:bottom w:w="60" w:type="dxa"/>
              <w:right w:w="100" w:type="dxa"/>
            </w:tcMar>
          </w:tcPr>
          <w:p>
            <w:pPr>
              <w:spacing w:before="20" w:after="20" w:line="240" w:lineRule="auto"/>
              <w:jc w:val="left"/>
            </w:pPr>
            <w:r>
              <w:rPr>
                <w:color w:val="37474F"/>
                <w:sz w:val="18"/>
              </w:rPr>
              <w:t>SignalEngine group 8 (weight 8)</w:t>
            </w:r>
          </w:p>
        </w:tc>
      </w:tr>
    </w:tbl>
    <w:tbl>
      <w:tblPr>
        <w:tblW w:w="5000" w:type="pct"/>
        <w:tblBorders>
          <w:top w:val="single" w:color="B8860B" w:sz="12"/>
          <w:bottom w:val="single" w:color="B8860B" w:sz="12"/>
          <w:insideH w:val="single" w:color="CFD8DC" w:sz="4"/>
          <w:insideV w:val="single" w:color="CFD8DC" w:sz="4"/>
        </w:tblBorders>
      </w:tblPr>
      <w:tblGrid>
        <w:gridCol w:w="1400"/>
        <w:gridCol w:w="3900"/>
        <w:gridCol w:w="4000"/>
      </w:tblGrid>
      <w:tr>
        <w:trPr>
          <w:tblHeader/>
        </w:trPr>
        <w:tc>
          <w:tcPr>
            <w:tcW w:w="1400" w:type="dxa"/>
            <w:shd w:val="clear" w:fill="ECEFF1"/>
            <w:tcMar>
              <w:top w:w="60" w:type="dxa"/>
              <w:left w:w="100" w:type="dxa"/>
              <w:bottom w:w="60" w:type="dxa"/>
              <w:right w:w="100" w:type="dxa"/>
            </w:tcMar>
          </w:tcPr>
          <w:p>
            <w:pPr>
              <w:spacing w:before="20" w:after="20" w:line="240" w:lineRule="auto"/>
              <w:jc w:val="left"/>
            </w:pPr>
            <w:r>
              <w:rPr>
                <w:b/>
                <w:color w:val="263238"/>
                <w:sz w:val="18"/>
              </w:rPr>
              <w:t>TIER</w:t>
            </w:r>
          </w:p>
        </w:tc>
        <w:tc>
          <w:tcPr>
            <w:tcW w:w="3900" w:type="dxa"/>
            <w:shd w:val="clear" w:fill="ECEFF1"/>
            <w:tcMar>
              <w:top w:w="60" w:type="dxa"/>
              <w:left w:w="100" w:type="dxa"/>
              <w:bottom w:w="60" w:type="dxa"/>
              <w:right w:w="100" w:type="dxa"/>
            </w:tcMar>
          </w:tcPr>
          <w:p>
            <w:pPr>
              <w:spacing w:before="20" w:after="20" w:line="240" w:lineRule="auto"/>
              <w:jc w:val="left"/>
            </w:pPr>
            <w:r>
              <w:rPr>
                <w:b/>
                <w:color w:val="263238"/>
                <w:sz w:val="18"/>
              </w:rPr>
              <w:t>SOURCE</w:t>
            </w:r>
          </w:p>
        </w:tc>
        <w:tc>
          <w:tcPr>
            <w:tcW w:w="4000" w:type="dxa"/>
            <w:shd w:val="clear" w:fill="ECEFF1"/>
            <w:tcMar>
              <w:top w:w="60" w:type="dxa"/>
              <w:left w:w="100" w:type="dxa"/>
              <w:bottom w:w="60" w:type="dxa"/>
              <w:right w:w="100" w:type="dxa"/>
            </w:tcMar>
          </w:tcPr>
          <w:p>
            <w:pPr>
              <w:spacing w:before="20" w:after="20" w:line="240" w:lineRule="auto"/>
              <w:jc w:val="left"/>
            </w:pPr>
            <w:r>
              <w:rPr>
                <w:b/>
                <w:color w:val="263238"/>
                <w:sz w:val="18"/>
              </w:rPr>
              <w:t>WHAT IT MEASURES</w:t>
            </w:r>
          </w:p>
        </w:tc>
      </w:tr>
      <w:tr>
        <w:tc>
          <w:tcPr>
            <w:tcW w:w="1400" w:type="dxa"/>
            <w:tcMar>
              <w:top w:w="60" w:type="dxa"/>
              <w:left w:w="100" w:type="dxa"/>
              <w:bottom w:w="60" w:type="dxa"/>
              <w:right w:w="100" w:type="dxa"/>
            </w:tcMar>
          </w:tcPr>
          <w:p>
            <w:pPr>
              <w:spacing w:before="20" w:after="20" w:line="240" w:lineRule="auto"/>
              <w:jc w:val="left"/>
            </w:pPr>
            <w:r>
              <w:rPr>
                <w:color w:val="37474F"/>
                <w:sz w:val="18"/>
              </w:rPr>
              <w:t>2 — DOM</w:t>
            </w:r>
          </w:p>
        </w:tc>
        <w:tc>
          <w:tcPr>
            <w:tcW w:w="3900" w:type="dxa"/>
            <w:tcMar>
              <w:top w:w="60" w:type="dxa"/>
              <w:left w:w="100" w:type="dxa"/>
              <w:bottom w:w="60" w:type="dxa"/>
              <w:right w:w="100" w:type="dxa"/>
            </w:tcMar>
          </w:tcPr>
          <w:p>
            <w:pPr>
              <w:spacing w:before="20" w:after="20" w:line="240" w:lineRule="auto"/>
              <w:jc w:val="left"/>
            </w:pPr>
            <w:r>
              <w:rPr>
                <w:color w:val="37474F"/>
                <w:sz w:val="18"/>
              </w:rPr>
              <w:t>Native MarketBookGet snapshots</w:t>
            </w:r>
          </w:p>
        </w:tc>
        <w:tc>
          <w:tcPr>
            <w:tcW w:w="4000" w:type="dxa"/>
            <w:tcMar>
              <w:top w:w="60" w:type="dxa"/>
              <w:left w:w="100" w:type="dxa"/>
              <w:bottom w:w="60" w:type="dxa"/>
              <w:right w:w="100" w:type="dxa"/>
            </w:tcMar>
          </w:tcPr>
          <w:p>
            <w:pPr>
              <w:spacing w:before="20" w:after="20" w:line="240" w:lineRule="auto"/>
              <w:jc w:val="left"/>
            </w:pPr>
            <w:r>
              <w:rPr>
                <w:color w:val="37474F"/>
                <w:sz w:val="18"/>
              </w:rPr>
              <w:t>True resting limit-order depth imbalance (best on futures-routed brokers)</w:t>
            </w:r>
          </w:p>
        </w:tc>
      </w:tr>
      <w:tr>
        <w:tc>
          <w:tcPr>
            <w:tcW w:w="1400" w:type="dxa"/>
            <w:tcMar>
              <w:top w:w="60" w:type="dxa"/>
              <w:left w:w="100" w:type="dxa"/>
              <w:bottom w:w="60" w:type="dxa"/>
              <w:right w:w="100" w:type="dxa"/>
            </w:tcMar>
          </w:tcPr>
          <w:p>
            <w:pPr>
              <w:spacing w:before="20" w:after="20" w:line="240" w:lineRule="auto"/>
              <w:jc w:val="left"/>
            </w:pPr>
            <w:r>
              <w:rPr>
                <w:color w:val="37474F"/>
                <w:sz w:val="18"/>
              </w:rPr>
              <w:t>1 — SYNTH</w:t>
            </w:r>
          </w:p>
        </w:tc>
        <w:tc>
          <w:tcPr>
            <w:tcW w:w="3900" w:type="dxa"/>
            <w:tcMar>
              <w:top w:w="60" w:type="dxa"/>
              <w:left w:w="100" w:type="dxa"/>
              <w:bottom w:w="60" w:type="dxa"/>
              <w:right w:w="100" w:type="dxa"/>
            </w:tcMar>
          </w:tcPr>
          <w:p>
            <w:pPr>
              <w:spacing w:before="20" w:after="20" w:line="240" w:lineRule="auto"/>
              <w:jc w:val="left"/>
            </w:pPr>
            <w:r>
              <w:rPr>
                <w:color w:val="37474F"/>
                <w:sz w:val="18"/>
              </w:rPr>
              <w:t>Tick stream, rolling 30-min window</w:t>
            </w:r>
          </w:p>
        </w:tc>
        <w:tc>
          <w:tcPr>
            <w:tcW w:w="4000" w:type="dxa"/>
            <w:tcMar>
              <w:top w:w="60" w:type="dxa"/>
              <w:left w:w="100" w:type="dxa"/>
              <w:bottom w:w="60" w:type="dxa"/>
              <w:right w:w="100" w:type="dxa"/>
            </w:tcMar>
          </w:tcPr>
          <w:p>
            <w:pPr>
              <w:spacing w:before="20" w:after="20" w:line="240" w:lineRule="auto"/>
              <w:jc w:val="left"/>
            </w:pPr>
            <w:r>
              <w:rPr>
                <w:color w:val="37474F"/>
                <w:sz w:val="18"/>
              </w:rPr>
              <w:t>Aggressive traded volume-at-price ladder: buy aggression below price = synthetic bid support; sell aggression above = synthetic ask resistance; contested nodes = walls</w:t>
            </w:r>
          </w:p>
        </w:tc>
      </w:tr>
      <w:tr>
        <w:tc>
          <w:tcPr>
            <w:tcW w:w="1400" w:type="dxa"/>
            <w:tcMar>
              <w:top w:w="60" w:type="dxa"/>
              <w:left w:w="100" w:type="dxa"/>
              <w:bottom w:w="60" w:type="dxa"/>
              <w:right w:w="100" w:type="dxa"/>
            </w:tcMar>
          </w:tcPr>
          <w:p>
            <w:pPr>
              <w:spacing w:before="20" w:after="20" w:line="240" w:lineRule="auto"/>
              <w:jc w:val="left"/>
            </w:pPr>
            <w:r>
              <w:rPr>
                <w:color w:val="37474F"/>
                <w:sz w:val="18"/>
              </w:rPr>
              <w:t>0 — TAPE</w:t>
            </w:r>
          </w:p>
        </w:tc>
        <w:tc>
          <w:tcPr>
            <w:tcW w:w="3900" w:type="dxa"/>
            <w:tcMar>
              <w:top w:w="60" w:type="dxa"/>
              <w:left w:w="100" w:type="dxa"/>
              <w:bottom w:w="60" w:type="dxa"/>
              <w:right w:w="100" w:type="dxa"/>
            </w:tcMar>
          </w:tcPr>
          <w:p>
            <w:pPr>
              <w:spacing w:before="20" w:after="20" w:line="240" w:lineRule="auto"/>
              <w:jc w:val="left"/>
            </w:pPr>
            <w:r>
              <w:rPr>
                <w:color w:val="37474F"/>
                <w:sz w:val="18"/>
              </w:rPr>
              <w:t>Tick stream, best bid/ask steps</w:t>
            </w:r>
          </w:p>
        </w:tc>
        <w:tc>
          <w:tcPr>
            <w:tcW w:w="4000" w:type="dxa"/>
            <w:tcMar>
              <w:top w:w="60" w:type="dxa"/>
              <w:left w:w="100" w:type="dxa"/>
              <w:bottom w:w="60" w:type="dxa"/>
              <w:right w:w="100" w:type="dxa"/>
            </w:tcMar>
          </w:tcPr>
          <w:p>
            <w:pPr>
              <w:spacing w:before="20" w:after="20" w:line="240" w:lineRule="auto"/>
              <w:jc w:val="left"/>
            </w:pPr>
            <w:r>
              <w:rPr>
                <w:color w:val="37474F"/>
                <w:sz w:val="18"/>
              </w:rPr>
              <w:t>OFI (order-flow imbalance, simplified Cont-Kukanov) + tick-speed: direction and urgency of the tape</w:t>
            </w:r>
          </w:p>
        </w:tc>
      </w:tr>
    </w:tbl>
    <w:tbl>
      <w:tblPr>
        <w:tblW w:w="5000" w:type="pct"/>
        <w:tblBorders>
          <w:top w:val="single" w:color="B8860B" w:sz="6"/>
          <w:left w:val="single" w:color="B8860B" w:sz="6"/>
          <w:bottom w:val="single" w:color="B8860B" w:sz="6"/>
          <w:right w:val="single" w:color="B8860B" w:sz="6"/>
        </w:tblBorders>
      </w:tblPr>
      <w:tblGrid>
        <w:gridCol w:w="9300"/>
      </w:tblGrid>
      <w:tr>
        <w:tc>
          <w:tcPr>
            <w:tcW w:w="9300" w:type="dxa"/>
            <w:shd w:val="clear" w:fill="1C262B"/>
            <w:tcMar>
              <w:top w:w="80" w:type="dxa"/>
              <w:left w:w="160" w:type="dxa"/>
              <w:bottom w:w="80" w:type="dxa"/>
            </w:tcMar>
          </w:tcPr>
          <w:p>
            <w:r>
              <w:rPr>
                <w:rFonts w:ascii="Consolas" w:hAnsi="Consolas"/>
                <w:b/>
                <w:color w:val="D4AF37"/>
                <w:sz w:val="17"/>
              </w:rPr>
              <w:t>ORDER BOOK — pseudo-code</w:t>
            </w:r>
          </w:p>
        </w:tc>
      </w:tr>
      <w:tr>
        <w:tc>
          <w:tcPr>
            <w:tcW w:w="9300" w:type="dxa"/>
            <w:shd w:val="clear" w:fill="263238"/>
            <w:tcMar>
              <w:top w:w="100" w:type="dxa"/>
              <w:left w:w="160" w:type="dxa"/>
              <w:bottom w:w="100" w:type="dxa"/>
              <w:right w:w="100" w:type="dxa"/>
            </w:tcMar>
          </w:tcPr>
          <w:p>
            <w:pPr>
              <w:spacing w:before="0" w:after="0" w:line="230" w:lineRule="auto"/>
            </w:pPr>
            <w:r>
              <w:rPr>
                <w:rFonts w:ascii="Consolas" w:hAnsi="Consolas"/>
                <w:color w:val="ECEFF1"/>
                <w:sz w:val="16"/>
              </w:rPr>
              <w:t xml:space="preserve">ON INIT: try MarketBookAdd(symbol); allocate flow ring[4096], OFI ring[256]</w:t>
            </w:r>
          </w:p>
          <w:p>
            <w:pPr>
              <w:spacing w:before="0" w:after="0" w:line="230" w:lineRule="auto"/>
            </w:pPr>
            <w:r>
              <w:rPr>
                <w:rFonts w:ascii="Consolas" w:hAnsi="Consolas"/>
                <w:color w:val="ECEFF1"/>
                <w:sz w:val="16"/>
              </w:rPr>
              <w:t xml:space="preserve">ON BOOK EVENT: sum bid/ask depth volumes -&gt; real imbalance; stamp time</w:t>
            </w:r>
          </w:p>
          <w:p>
            <w:pPr>
              <w:spacing w:before="0" w:after="0" w:line="230" w:lineRule="auto"/>
            </w:pPr>
            <w:r>
              <w:rPr>
                <w:rFonts w:ascii="Consolas" w:hAnsi="Consolas"/>
                <w:color w:val="ECEFF1"/>
                <w:sz w:val="16"/>
              </w:rPr>
              <w:t xml:space="preserve">ON TICK:</w:t>
            </w:r>
          </w:p>
          <w:p>
            <w:pPr>
              <w:spacing w:before="0" w:after="0" w:line="230" w:lineRule="auto"/>
            </w:pPr>
            <w:r>
              <w:rPr>
                <w:rFonts w:ascii="Consolas" w:hAnsi="Consolas"/>
                <w:color w:val="ECEFF1"/>
                <w:sz w:val="16"/>
              </w:rPr>
              <w:t xml:space="preserve">    read tick { bid, ask, last }</w:t>
            </w:r>
          </w:p>
          <w:p>
            <w:pPr>
              <w:spacing w:before="0" w:after="0" w:line="230" w:lineRule="auto"/>
            </w:pPr>
            <w:r>
              <w:rPr>
                <w:rFonts w:ascii="Consolas" w:hAnsi="Consolas"/>
                <w:color w:val="ECEFF1"/>
                <w:sz w:val="16"/>
              </w:rPr>
              <w:t xml:space="preserve">    OFI event: bid up +1 / bid down -1 / ask down -1 / ask up +1 -&gt; ring</w:t>
            </w:r>
          </w:p>
          <w:p>
            <w:pPr>
              <w:spacing w:before="0" w:after="0" w:line="230" w:lineRule="auto"/>
            </w:pPr>
            <w:r>
              <w:rPr>
                <w:rFonts w:ascii="Consolas" w:hAnsi="Consolas"/>
                <w:color w:val="ECEFF1"/>
                <w:sz w:val="16"/>
              </w:rPr>
              <w:t xml:space="preserve">    aggression: last&gt;=ask -&gt; BUY; last&lt;=bid -&gt; SELL; else mid-move rule;</w:t>
            </w:r>
          </w:p>
          <w:p>
            <w:pPr>
              <w:spacing w:before="0" w:after="0" w:line="230" w:lineRule="auto"/>
            </w:pPr>
            <w:r>
              <w:rPr>
                <w:rFonts w:ascii="Consolas" w:hAnsi="Consolas"/>
                <w:color w:val="ECEFF1"/>
                <w:sz w:val="16"/>
              </w:rPr>
              <w:t xml:space="preserve">    push { time, mid, sign } into flow ring</w:t>
            </w:r>
          </w:p>
          <w:p>
            <w:pPr>
              <w:spacing w:before="0" w:after="0" w:line="230" w:lineRule="auto"/>
            </w:pPr>
            <w:r>
              <w:rPr>
                <w:rFonts w:ascii="Consolas" w:hAnsi="Consolas"/>
                <w:color w:val="ECEFF1"/>
                <w:sz w:val="16"/>
              </w:rPr>
              <w:t xml:space="preserve">    stale DOM (&gt;5s no event) -&gt; drop to synthetic tier</w:t>
            </w:r>
          </w:p>
          <w:p>
            <w:pPr>
              <w:spacing w:before="0" w:after="0" w:line="230" w:lineRule="auto"/>
            </w:pPr>
            <w:r>
              <w:rPr>
                <w:rFonts w:ascii="Consolas" w:hAnsi="Consolas"/>
                <w:color w:val="ECEFF1"/>
                <w:sz w:val="16"/>
              </w:rPr>
              <w:t xml:space="preserve">SYNTHETIC LADDER (rebuild throttled 2s):</w:t>
            </w:r>
          </w:p>
          <w:p>
            <w:pPr>
              <w:spacing w:before="0" w:after="0" w:line="230" w:lineRule="auto"/>
            </w:pPr>
            <w:r>
              <w:rPr>
                <w:rFonts w:ascii="Consolas" w:hAnsi="Consolas"/>
                <w:color w:val="ECEFF1"/>
                <w:sz w:val="16"/>
              </w:rPr>
              <w:t xml:space="preserve">    window = flow events within last 30 min; axis = [min..max] mid, 40 bins</w:t>
            </w:r>
          </w:p>
          <w:p>
            <w:pPr>
              <w:spacing w:before="0" w:after="0" w:line="230" w:lineRule="auto"/>
            </w:pPr>
            <w:r>
              <w:rPr>
                <w:rFonts w:ascii="Consolas" w:hAnsi="Consolas"/>
                <w:color w:val="ECEFF1"/>
                <w:sz w:val="16"/>
              </w:rPr>
              <w:t xml:space="preserve">    binBuy[b] += 1 where sign=BUY; binSell[b] where sign=SELL</w:t>
            </w:r>
          </w:p>
          <w:p>
            <w:pPr>
              <w:spacing w:before="0" w:after="0" w:line="230" w:lineRule="auto"/>
            </w:pPr>
            <w:r>
              <w:rPr>
                <w:rFonts w:ascii="Consolas" w:hAnsi="Consolas"/>
                <w:color w:val="ECEFF1"/>
                <w:sz w:val="16"/>
              </w:rPr>
              <w:t xml:space="preserve">    synth bid depth = SUM(binBuy  where bin centre &lt; mid)</w:t>
            </w:r>
          </w:p>
          <w:p>
            <w:pPr>
              <w:spacing w:before="0" w:after="0" w:line="230" w:lineRule="auto"/>
            </w:pPr>
            <w:r>
              <w:rPr>
                <w:rFonts w:ascii="Consolas" w:hAnsi="Consolas"/>
                <w:color w:val="ECEFF1"/>
                <w:sz w:val="16"/>
              </w:rPr>
              <w:t xml:space="preserve">    synth ask depth = SUM(binSell where bin centre &gt; mid)</w:t>
            </w:r>
          </w:p>
          <w:p>
            <w:pPr>
              <w:spacing w:before="0" w:after="0" w:line="230" w:lineRule="auto"/>
            </w:pPr>
            <w:r>
              <w:rPr>
                <w:rFonts w:ascii="Consolas" w:hAnsi="Consolas"/>
                <w:color w:val="ECEFF1"/>
                <w:sz w:val="16"/>
              </w:rPr>
              <w:t xml:space="preserve">    SyntheticImbalance = (bidDepth - askDepth)/(bidDepth + askDepth)</w:t>
            </w:r>
          </w:p>
          <w:p>
            <w:pPr>
              <w:spacing w:before="0" w:after="0" w:line="230" w:lineRule="auto"/>
            </w:pPr>
            <w:r>
              <w:rPr>
                <w:rFonts w:ascii="Consolas" w:hAnsi="Consolas"/>
                <w:color w:val="ECEFF1"/>
                <w:sz w:val="16"/>
              </w:rPr>
              <w:t xml:space="preserve">    walls = bins with total &gt;= 1.75x mean -&gt; NearestWall(above/below)</w:t>
            </w:r>
          </w:p>
          <w:p>
            <w:pPr>
              <w:spacing w:before="0" w:after="0" w:line="230" w:lineRule="auto"/>
            </w:pPr>
            <w:r>
              <w:rPr>
                <w:rFonts w:ascii="Consolas" w:hAnsi="Consolas"/>
                <w:color w:val="ECEFF1"/>
                <w:sz w:val="16"/>
              </w:rPr>
              <w:t xml:space="preserve">Imbalance(): tier 2 -&gt; real; tier 1 -&gt; synthetic; else 0</w:t>
            </w:r>
          </w:p>
          <w:p>
            <w:pPr>
              <w:spacing w:before="0" w:after="0" w:line="230" w:lineRule="auto"/>
            </w:pPr>
            <w:r>
              <w:rPr>
                <w:rFonts w:ascii="Consolas" w:hAnsi="Consolas"/>
                <w:color w:val="ECEFF1"/>
                <w:sz w:val="16"/>
              </w:rPr>
              <w:t xml:space="preserve">OFI(): mean of signed events / 2 over ring -&gt; -1..1 (works on ANY feed)</w:t>
            </w:r>
          </w:p>
        </w:tc>
      </w:tr>
    </w:tbl>
    <w:p>
      <w:pPr>
        <w:pStyle w:val="Heading1"/>
      </w:pPr>
      <w:r>
        <w:t>11. REGIME &amp; SESSION ENGINE</w:t>
      </w:r>
      <w:bookmarkStart w:name="_T13" w:id="13"/>
      <w:bookmarkEnd w:id="13"/>
    </w:p>
    <w:p>
      <w:pPr>
        <w:spacing w:after="240"/>
      </w:pPr>
      <w:r>
        <w:rPr>
          <w:i/>
          <w:color w:val="546E7A"/>
        </w:rPr>
        <w:t>Question answered: should we be trading at all right now — and if so, which playbook and which risk size?</w:t>
      </w:r>
    </w:p>
    <w:tbl>
      <w:tblPr>
        <w:tblW w:w="5000" w:type="pct"/>
        <w:tblBorders>
          <w:top w:val="single" w:color="B8860B" w:sz="12"/>
          <w:bottom w:val="single" w:color="B8860B" w:sz="12"/>
          <w:insideH w:val="single" w:color="CFD8DC" w:sz="4"/>
          <w:insideV w:val="single" w:color="CFD8DC" w:sz="4"/>
        </w:tblBorders>
      </w:tblPr>
      <w:tblGrid>
        <w:gridCol w:w="2000"/>
        <w:gridCol w:w="7300"/>
      </w:tblGrid>
      <w:tr>
        <w:trPr>
          <w:tblHeader/>
        </w:trPr>
        <w:tc>
          <w:tcPr>
            <w:tcW w:w="2000" w:type="dxa"/>
            <w:shd w:val="clear" w:fill="ECEFF1"/>
            <w:tcMar>
              <w:top w:w="60" w:type="dxa"/>
              <w:left w:w="100" w:type="dxa"/>
              <w:bottom w:w="60" w:type="dxa"/>
              <w:right w:w="100" w:type="dxa"/>
            </w:tcMar>
          </w:tcPr>
          <w:p>
            <w:pPr>
              <w:spacing w:before="20" w:after="20" w:line="240" w:lineRule="auto"/>
              <w:jc w:val="left"/>
            </w:pPr>
            <w:r>
              <w:rPr>
                <w:b/>
                <w:color w:val="263238"/>
                <w:sz w:val="18"/>
              </w:rPr>
              <w:t>CONTRACT</w:t>
            </w:r>
          </w:p>
        </w:tc>
        <w:tc>
          <w:tcPr>
            <w:tcW w:w="7300" w:type="dxa"/>
            <w:shd w:val="clear" w:fill="ECEFF1"/>
            <w:tcMar>
              <w:top w:w="60" w:type="dxa"/>
              <w:left w:w="100" w:type="dxa"/>
              <w:bottom w:w="60" w:type="dxa"/>
              <w:right w:w="100" w:type="dxa"/>
            </w:tcMar>
          </w:tcPr>
          <w:p>
            <w:pPr>
              <w:spacing w:before="20" w:after="20" w:line="240" w:lineRule="auto"/>
              <w:jc w:val="left"/>
            </w:pPr>
            <w:r>
              <w:rPr>
                <w:b/>
                <w:color w:val="263238"/>
                <w:sz w:val="18"/>
              </w:rPr>
              <w:t>DETAIL</w:t>
            </w:r>
          </w:p>
        </w:tc>
      </w:tr>
      <w:tr>
        <w:tc>
          <w:tcPr>
            <w:tcW w:w="2000" w:type="dxa"/>
            <w:tcMar>
              <w:top w:w="60" w:type="dxa"/>
              <w:left w:w="100" w:type="dxa"/>
              <w:bottom w:w="60" w:type="dxa"/>
              <w:right w:w="100" w:type="dxa"/>
            </w:tcMar>
          </w:tcPr>
          <w:p>
            <w:pPr>
              <w:spacing w:before="20" w:after="20" w:line="240" w:lineRule="auto"/>
              <w:jc w:val="left"/>
            </w:pPr>
            <w:r>
              <w:rPr>
                <w:color w:val="37474F"/>
                <w:sz w:val="18"/>
              </w:rPr>
              <w:t>Inputs</w:t>
            </w:r>
          </w:p>
        </w:tc>
        <w:tc>
          <w:tcPr>
            <w:tcW w:w="7300" w:type="dxa"/>
            <w:tcMar>
              <w:top w:w="60" w:type="dxa"/>
              <w:left w:w="100" w:type="dxa"/>
              <w:bottom w:w="60" w:type="dxa"/>
              <w:right w:w="100" w:type="dxa"/>
            </w:tcMar>
          </w:tcPr>
          <w:p>
            <w:pPr>
              <w:spacing w:before="20" w:after="20" w:line="240" w:lineRule="auto"/>
              <w:jc w:val="left"/>
            </w:pPr>
            <w:r>
              <w:rPr>
                <w:color w:val="37474F"/>
                <w:sz w:val="18"/>
              </w:rPr>
              <w:t>M5 OHLCV; server time; config time gates</w:t>
            </w:r>
          </w:p>
        </w:tc>
      </w:tr>
      <w:tr>
        <w:tc>
          <w:tcPr>
            <w:tcW w:w="2000" w:type="dxa"/>
            <w:tcMar>
              <w:top w:w="60" w:type="dxa"/>
              <w:left w:w="100" w:type="dxa"/>
              <w:bottom w:w="60" w:type="dxa"/>
              <w:right w:w="100" w:type="dxa"/>
            </w:tcMar>
          </w:tcPr>
          <w:p>
            <w:pPr>
              <w:spacing w:before="20" w:after="20" w:line="240" w:lineRule="auto"/>
              <w:jc w:val="left"/>
            </w:pPr>
            <w:r>
              <w:rPr>
                <w:color w:val="37474F"/>
                <w:sz w:val="18"/>
              </w:rPr>
              <w:t>Outputs</w:t>
            </w:r>
          </w:p>
        </w:tc>
        <w:tc>
          <w:tcPr>
            <w:tcW w:w="7300" w:type="dxa"/>
            <w:tcMar>
              <w:top w:w="60" w:type="dxa"/>
              <w:left w:w="100" w:type="dxa"/>
              <w:bottom w:w="60" w:type="dxa"/>
              <w:right w:w="100" w:type="dxa"/>
            </w:tcMar>
          </w:tcPr>
          <w:p>
            <w:pPr>
              <w:spacing w:before="20" w:after="20" w:line="240" w:lineRule="auto"/>
              <w:jc w:val="left"/>
            </w:pPr>
            <w:r>
              <w:rPr>
                <w:color w:val="37474F"/>
                <w:sz w:val="18"/>
              </w:rPr>
              <w:t>Regime (TREND_UP/DOWN, RANGE, BREAKOUT, QUIET), Session, ATR, ATRPercentile 0..1, TrendStrength 0..100, EfficiencyRatio -1..1, Momentum -1..1, VolFactor 0.5..1.5, MarketQuarter, QuarterProgress, TradingAllowedNow + DenyReason</w:t>
            </w:r>
          </w:p>
        </w:tc>
      </w:tr>
      <w:tr>
        <w:tc>
          <w:tcPr>
            <w:tcW w:w="2000" w:type="dxa"/>
            <w:tcMar>
              <w:top w:w="60" w:type="dxa"/>
              <w:left w:w="100" w:type="dxa"/>
              <w:bottom w:w="60" w:type="dxa"/>
              <w:right w:w="100" w:type="dxa"/>
            </w:tcMar>
          </w:tcPr>
          <w:p>
            <w:pPr>
              <w:spacing w:before="20" w:after="20" w:line="240" w:lineRule="auto"/>
              <w:jc w:val="left"/>
            </w:pPr>
            <w:r>
              <w:rPr>
                <w:color w:val="37474F"/>
                <w:sz w:val="18"/>
              </w:rPr>
              <w:t>Config</w:t>
            </w:r>
          </w:p>
        </w:tc>
        <w:tc>
          <w:tcPr>
            <w:tcW w:w="7300" w:type="dxa"/>
            <w:tcMar>
              <w:top w:w="60" w:type="dxa"/>
              <w:left w:w="100" w:type="dxa"/>
              <w:bottom w:w="60" w:type="dxa"/>
              <w:right w:w="100" w:type="dxa"/>
            </w:tcMar>
          </w:tcPr>
          <w:p>
            <w:pPr>
              <w:spacing w:before="20" w:after="20" w:line="240" w:lineRule="auto"/>
              <w:jc w:val="left"/>
            </w:pPr>
            <w:r>
              <w:rPr>
                <w:color w:val="37474F"/>
                <w:sz w:val="18"/>
              </w:rPr>
              <w:t>ATRLen (14), TrendLen (20), GMTOffset, TradeAsia/London/NewYork, FridayCutoffHour, NewsWindowsCSV</w:t>
            </w:r>
          </w:p>
        </w:tc>
      </w:tr>
      <w:tr>
        <w:tc>
          <w:tcPr>
            <w:tcW w:w="2000" w:type="dxa"/>
            <w:tcMar>
              <w:top w:w="60" w:type="dxa"/>
              <w:left w:w="100" w:type="dxa"/>
              <w:bottom w:w="60" w:type="dxa"/>
              <w:right w:w="100" w:type="dxa"/>
            </w:tcMar>
          </w:tcPr>
          <w:p>
            <w:pPr>
              <w:spacing w:before="20" w:after="20" w:line="240" w:lineRule="auto"/>
              <w:jc w:val="left"/>
            </w:pPr>
            <w:r>
              <w:rPr>
                <w:color w:val="37474F"/>
                <w:sz w:val="18"/>
              </w:rPr>
              <w:t>Used by</w:t>
            </w:r>
          </w:p>
        </w:tc>
        <w:tc>
          <w:tcPr>
            <w:tcW w:w="7300" w:type="dxa"/>
            <w:tcMar>
              <w:top w:w="60" w:type="dxa"/>
              <w:left w:w="100" w:type="dxa"/>
              <w:bottom w:w="60" w:type="dxa"/>
              <w:right w:w="100" w:type="dxa"/>
            </w:tcMar>
          </w:tcPr>
          <w:p>
            <w:pPr>
              <w:spacing w:before="20" w:after="20" w:line="240" w:lineRule="auto"/>
              <w:jc w:val="left"/>
            </w:pPr>
            <w:r>
              <w:rPr>
                <w:color w:val="37474F"/>
                <w:sz w:val="18"/>
              </w:rPr>
              <w:t>SignalEngine group 7 (weight 10) + all gates; Executor (VolFactor sizing of targets)</w:t>
            </w:r>
          </w:p>
        </w:tc>
      </w:tr>
    </w:tbl>
    <w:tbl>
      <w:tblPr>
        <w:tblW w:w="5000" w:type="pct"/>
        <w:tblBorders>
          <w:top w:val="single" w:color="B8860B" w:sz="12"/>
          <w:bottom w:val="single" w:color="B8860B" w:sz="12"/>
          <w:insideH w:val="single" w:color="CFD8DC" w:sz="4"/>
          <w:insideV w:val="single" w:color="CFD8DC" w:sz="4"/>
        </w:tblBorders>
      </w:tblPr>
      <w:tblGrid>
        <w:gridCol w:w="2200"/>
        <w:gridCol w:w="7100"/>
      </w:tblGrid>
      <w:tr>
        <w:trPr>
          <w:tblHeader/>
        </w:trPr>
        <w:tc>
          <w:tcPr>
            <w:tcW w:w="2200" w:type="dxa"/>
            <w:shd w:val="clear" w:fill="ECEFF1"/>
            <w:tcMar>
              <w:top w:w="60" w:type="dxa"/>
              <w:left w:w="100" w:type="dxa"/>
              <w:bottom w:w="60" w:type="dxa"/>
              <w:right w:w="100" w:type="dxa"/>
            </w:tcMar>
          </w:tcPr>
          <w:p>
            <w:pPr>
              <w:spacing w:before="20" w:after="20" w:line="240" w:lineRule="auto"/>
              <w:jc w:val="left"/>
            </w:pPr>
            <w:r>
              <w:rPr>
                <w:b/>
                <w:color w:val="263238"/>
                <w:sz w:val="18"/>
              </w:rPr>
              <w:t>REGIME</w:t>
            </w:r>
          </w:p>
        </w:tc>
        <w:tc>
          <w:tcPr>
            <w:tcW w:w="7100" w:type="dxa"/>
            <w:shd w:val="clear" w:fill="ECEFF1"/>
            <w:tcMar>
              <w:top w:w="60" w:type="dxa"/>
              <w:left w:w="100" w:type="dxa"/>
              <w:bottom w:w="60" w:type="dxa"/>
              <w:right w:w="100" w:type="dxa"/>
            </w:tcMar>
          </w:tcPr>
          <w:p>
            <w:pPr>
              <w:spacing w:before="20" w:after="20" w:line="240" w:lineRule="auto"/>
              <w:jc w:val="left"/>
            </w:pPr>
            <w:r>
              <w:rPr>
                <w:b/>
                <w:color w:val="263238"/>
                <w:sz w:val="18"/>
              </w:rPr>
              <w:t>CLASSIFICATION RULE</w:t>
            </w:r>
          </w:p>
        </w:tc>
      </w:tr>
      <w:tr>
        <w:tc>
          <w:tcPr>
            <w:tcW w:w="2200" w:type="dxa"/>
            <w:tcMar>
              <w:top w:w="60" w:type="dxa"/>
              <w:left w:w="100" w:type="dxa"/>
              <w:bottom w:w="60" w:type="dxa"/>
              <w:right w:w="100" w:type="dxa"/>
            </w:tcMar>
          </w:tcPr>
          <w:p>
            <w:pPr>
              <w:spacing w:before="20" w:after="20" w:line="240" w:lineRule="auto"/>
              <w:jc w:val="left"/>
            </w:pPr>
            <w:r>
              <w:rPr>
                <w:color w:val="37474F"/>
                <w:sz w:val="18"/>
              </w:rPr>
              <w:t>QUIET</w:t>
            </w:r>
          </w:p>
        </w:tc>
        <w:tc>
          <w:tcPr>
            <w:tcW w:w="7100" w:type="dxa"/>
            <w:tcMar>
              <w:top w:w="60" w:type="dxa"/>
              <w:left w:w="100" w:type="dxa"/>
              <w:bottom w:w="60" w:type="dxa"/>
              <w:right w:w="100" w:type="dxa"/>
            </w:tcMar>
          </w:tcPr>
          <w:p>
            <w:pPr>
              <w:spacing w:before="20" w:after="20" w:line="240" w:lineRule="auto"/>
              <w:jc w:val="left"/>
            </w:pPr>
            <w:r>
              <w:rPr>
                <w:color w:val="37474F"/>
                <w:sz w:val="18"/>
              </w:rPr>
              <w:t>ATR percentile &lt; 0.20 — overrides everything; trading blocked</w:t>
            </w:r>
          </w:p>
        </w:tc>
      </w:tr>
      <w:tr>
        <w:tc>
          <w:tcPr>
            <w:tcW w:w="2200" w:type="dxa"/>
            <w:tcMar>
              <w:top w:w="60" w:type="dxa"/>
              <w:left w:w="100" w:type="dxa"/>
              <w:bottom w:w="60" w:type="dxa"/>
              <w:right w:w="100" w:type="dxa"/>
            </w:tcMar>
          </w:tcPr>
          <w:p>
            <w:pPr>
              <w:spacing w:before="20" w:after="20" w:line="240" w:lineRule="auto"/>
              <w:jc w:val="left"/>
            </w:pPr>
            <w:r>
              <w:rPr>
                <w:color w:val="37474F"/>
                <w:sz w:val="18"/>
              </w:rPr>
              <w:t>BREAKOUT</w:t>
            </w:r>
          </w:p>
        </w:tc>
        <w:tc>
          <w:tcPr>
            <w:tcW w:w="7100" w:type="dxa"/>
            <w:tcMar>
              <w:top w:w="60" w:type="dxa"/>
              <w:left w:w="100" w:type="dxa"/>
              <w:bottom w:w="60" w:type="dxa"/>
              <w:right w:w="100" w:type="dxa"/>
            </w:tcMar>
          </w:tcPr>
          <w:p>
            <w:pPr>
              <w:spacing w:before="20" w:after="20" w:line="240" w:lineRule="auto"/>
              <w:jc w:val="left"/>
            </w:pPr>
            <w:r>
              <w:rPr>
                <w:color w:val="37474F"/>
                <w:sz w:val="18"/>
              </w:rPr>
              <w:t>last closed bar range &gt; 1.5xATR AND |ER| &gt; 0.25</w:t>
            </w:r>
          </w:p>
        </w:tc>
      </w:tr>
      <w:tr>
        <w:tc>
          <w:tcPr>
            <w:tcW w:w="2200" w:type="dxa"/>
            <w:tcMar>
              <w:top w:w="60" w:type="dxa"/>
              <w:left w:w="100" w:type="dxa"/>
              <w:bottom w:w="60" w:type="dxa"/>
              <w:right w:w="100" w:type="dxa"/>
            </w:tcMar>
          </w:tcPr>
          <w:p>
            <w:pPr>
              <w:spacing w:before="20" w:after="20" w:line="240" w:lineRule="auto"/>
              <w:jc w:val="left"/>
            </w:pPr>
            <w:r>
              <w:rPr>
                <w:color w:val="37474F"/>
                <w:sz w:val="18"/>
              </w:rPr>
              <w:t>TREND_UP</w:t>
            </w:r>
          </w:p>
        </w:tc>
        <w:tc>
          <w:tcPr>
            <w:tcW w:w="7100" w:type="dxa"/>
            <w:tcMar>
              <w:top w:w="60" w:type="dxa"/>
              <w:left w:w="100" w:type="dxa"/>
              <w:bottom w:w="60" w:type="dxa"/>
              <w:right w:w="100" w:type="dxa"/>
            </w:tcMar>
          </w:tcPr>
          <w:p>
            <w:pPr>
              <w:spacing w:before="20" w:after="20" w:line="240" w:lineRule="auto"/>
              <w:jc w:val="left"/>
            </w:pPr>
            <w:r>
              <w:rPr>
                <w:color w:val="37474F"/>
                <w:sz w:val="18"/>
              </w:rPr>
              <w:t>Kaufman ER &gt; +0.35 AND close &gt; EMA50 (mirror TREND_DOWN)</w:t>
            </w:r>
          </w:p>
        </w:tc>
      </w:tr>
      <w:tr>
        <w:tc>
          <w:tcPr>
            <w:tcW w:w="2200" w:type="dxa"/>
            <w:tcMar>
              <w:top w:w="60" w:type="dxa"/>
              <w:left w:w="100" w:type="dxa"/>
              <w:bottom w:w="60" w:type="dxa"/>
              <w:right w:w="100" w:type="dxa"/>
            </w:tcMar>
          </w:tcPr>
          <w:p>
            <w:pPr>
              <w:spacing w:before="20" w:after="20" w:line="240" w:lineRule="auto"/>
              <w:jc w:val="left"/>
            </w:pPr>
            <w:r>
              <w:rPr>
                <w:color w:val="37474F"/>
                <w:sz w:val="18"/>
              </w:rPr>
              <w:t>RANGE</w:t>
            </w:r>
          </w:p>
        </w:tc>
        <w:tc>
          <w:tcPr>
            <w:tcW w:w="7100" w:type="dxa"/>
            <w:tcMar>
              <w:top w:w="60" w:type="dxa"/>
              <w:left w:w="100" w:type="dxa"/>
              <w:bottom w:w="60" w:type="dxa"/>
              <w:right w:w="100" w:type="dxa"/>
            </w:tcMar>
          </w:tcPr>
          <w:p>
            <w:pPr>
              <w:spacing w:before="20" w:after="20" w:line="240" w:lineRule="auto"/>
              <w:jc w:val="left"/>
            </w:pPr>
            <w:r>
              <w:rPr>
                <w:color w:val="37474F"/>
                <w:sz w:val="18"/>
              </w:rPr>
              <w:t>everything else</w:t>
            </w:r>
          </w:p>
        </w:tc>
      </w:tr>
    </w:tbl>
    <w:tbl>
      <w:tblPr>
        <w:tblW w:w="5000" w:type="pct"/>
        <w:tblBorders>
          <w:top w:val="single" w:color="B8860B" w:sz="6"/>
          <w:left w:val="single" w:color="B8860B" w:sz="6"/>
          <w:bottom w:val="single" w:color="B8860B" w:sz="6"/>
          <w:right w:val="single" w:color="B8860B" w:sz="6"/>
        </w:tblBorders>
      </w:tblPr>
      <w:tblGrid>
        <w:gridCol w:w="9300"/>
      </w:tblGrid>
      <w:tr>
        <w:tc>
          <w:tcPr>
            <w:tcW w:w="9300" w:type="dxa"/>
            <w:shd w:val="clear" w:fill="1C262B"/>
            <w:tcMar>
              <w:top w:w="80" w:type="dxa"/>
              <w:left w:w="160" w:type="dxa"/>
              <w:bottom w:w="80" w:type="dxa"/>
            </w:tcMar>
          </w:tcPr>
          <w:p>
            <w:r>
              <w:rPr>
                <w:rFonts w:ascii="Consolas" w:hAnsi="Consolas"/>
                <w:b/>
                <w:color w:val="D4AF37"/>
                <w:sz w:val="17"/>
              </w:rPr>
              <w:t>REGIME — pseudo-code</w:t>
            </w:r>
          </w:p>
        </w:tc>
      </w:tr>
      <w:tr>
        <w:tc>
          <w:tcPr>
            <w:tcW w:w="9300" w:type="dxa"/>
            <w:shd w:val="clear" w:fill="263238"/>
            <w:tcMar>
              <w:top w:w="100" w:type="dxa"/>
              <w:left w:w="160" w:type="dxa"/>
              <w:bottom w:w="100" w:type="dxa"/>
              <w:right w:w="100" w:type="dxa"/>
            </w:tcMar>
          </w:tcPr>
          <w:p>
            <w:pPr>
              <w:spacing w:before="0" w:after="0" w:line="230" w:lineRule="auto"/>
            </w:pPr>
            <w:r>
              <w:rPr>
                <w:rFonts w:ascii="Consolas" w:hAnsi="Consolas"/>
                <w:color w:val="ECEFF1"/>
                <w:sz w:val="16"/>
              </w:rPr>
              <w:t xml:space="preserve">ATR          = Wilder(14); ATRPercentile = rank of ATR within 20 days</w:t>
            </w:r>
          </w:p>
          <w:p>
            <w:pPr>
              <w:spacing w:before="0" w:after="0" w:line="230" w:lineRule="auto"/>
            </w:pPr>
            <w:r>
              <w:rPr>
                <w:rFonts w:ascii="Consolas" w:hAnsi="Consolas"/>
                <w:color w:val="ECEFF1"/>
                <w:sz w:val="16"/>
              </w:rPr>
              <w:t xml:space="preserve">ER           = (close - close[20]) / SUM(|close[i]-close[i-1]|, 20)</w:t>
            </w:r>
          </w:p>
          <w:p>
            <w:pPr>
              <w:spacing w:before="0" w:after="0" w:line="230" w:lineRule="auto"/>
            </w:pPr>
            <w:r>
              <w:rPr>
                <w:rFonts w:ascii="Consolas" w:hAnsi="Consolas"/>
                <w:color w:val="ECEFF1"/>
                <w:sz w:val="16"/>
              </w:rPr>
              <w:t xml:space="preserve">TrendStrength= Wilder ADX-proxy (DI+/DI- smoothing) 0..100</w:t>
            </w:r>
          </w:p>
          <w:p>
            <w:pPr>
              <w:spacing w:before="0" w:after="0" w:line="230" w:lineRule="auto"/>
            </w:pPr>
            <w:r>
              <w:rPr>
                <w:rFonts w:ascii="Consolas" w:hAnsi="Consolas"/>
                <w:color w:val="ECEFF1"/>
                <w:sz w:val="16"/>
              </w:rPr>
              <w:t xml:space="preserve">Momentum     = clamp(ROC(12) / (2*ATR), -1, 1)</w:t>
            </w:r>
          </w:p>
          <w:p>
            <w:pPr>
              <w:spacing w:before="0" w:after="0" w:line="230" w:lineRule="auto"/>
            </w:pPr>
            <w:r>
              <w:rPr>
                <w:rFonts w:ascii="Consolas" w:hAnsi="Consolas"/>
                <w:color w:val="ECEFF1"/>
                <w:sz w:val="16"/>
              </w:rPr>
              <w:t xml:space="preserve">VolFactor    = clamp(ATR_now / ATR_sma_20d, 0.5, 1.5)   // scales SL/TP</w:t>
            </w:r>
          </w:p>
          <w:p>
            <w:pPr>
              <w:spacing w:before="0" w:after="0" w:line="230" w:lineRule="auto"/>
            </w:pPr>
            <w:r>
              <w:rPr>
                <w:rFonts w:ascii="Consolas" w:hAnsi="Consolas"/>
                <w:color w:val="ECEFF1"/>
                <w:sz w:val="16"/>
              </w:rPr>
              <w:t xml:space="preserve">Session      = GMT hour map; MarketQuarter = calendar; QuarterProgress</w:t>
            </w:r>
          </w:p>
          <w:p>
            <w:pPr>
              <w:spacing w:before="0" w:after="0" w:line="230" w:lineRule="auto"/>
            </w:pPr>
            <w:r>
              <w:rPr>
                <w:rFonts w:ascii="Consolas" w:hAnsi="Consolas"/>
                <w:color w:val="ECEFF1"/>
                <w:sz w:val="16"/>
              </w:rPr>
              <w:t xml:space="preserve">TradingAllowedNow = FALSE if any: session disabled, news window,</w:t>
            </w:r>
          </w:p>
          <w:p>
            <w:pPr>
              <w:spacing w:before="0" w:after="0" w:line="230" w:lineRule="auto"/>
            </w:pPr>
            <w:r>
              <w:rPr>
                <w:rFonts w:ascii="Consolas" w:hAnsi="Consolas"/>
                <w:color w:val="ECEFF1"/>
                <w:sz w:val="16"/>
              </w:rPr>
              <w:t xml:space="preserve">                    rollover +/-5 min, Friday cutoff, weekend</w:t>
            </w:r>
          </w:p>
          <w:p>
            <w:pPr>
              <w:spacing w:before="0" w:after="0" w:line="230" w:lineRule="auto"/>
            </w:pPr>
            <w:r>
              <w:rPr>
                <w:rFonts w:ascii="Consolas" w:hAnsi="Consolas"/>
                <w:color w:val="ECEFF1"/>
                <w:sz w:val="16"/>
              </w:rPr>
              <w:t xml:space="preserve">DenyReason() = first blocking reason (dashboard transparency)</w:t>
            </w:r>
          </w:p>
        </w:tc>
      </w:tr>
    </w:tbl>
    <w:p>
      <w:pPr>
        <w:pStyle w:val="Heading1"/>
      </w:pPr>
      <w:r>
        <w:t>12. CONFLUENCE SIGNAL ENGINE</w:t>
      </w:r>
      <w:bookmarkStart w:name="_T14" w:id="14"/>
      <w:bookmarkEnd w:id="14"/>
    </w:p>
    <w:p>
      <w:pPr>
        <w:spacing w:after="240"/>
      </w:pPr>
      <w:r>
        <w:rPr>
          <w:i/>
          <w:color w:val="546E7A"/>
        </w:rPr>
        <w:t>The brain: eight evidence groups vote in both directions; the stronger side must clear an adaptive bar, by a margin, with a structural stop behind it.</w:t>
      </w:r>
    </w:p>
    <w:p>
      <w:pPr>
        <w:pStyle w:val="Heading2"/>
      </w:pPr>
      <w:r>
        <w:t>12.1 Scoring Matrix</w:t>
      </w:r>
    </w:p>
    <w:tbl>
      <w:tblPr>
        <w:tblW w:w="5000" w:type="pct"/>
        <w:tblBorders>
          <w:top w:val="single" w:color="B8860B" w:sz="12"/>
          <w:bottom w:val="single" w:color="B8860B" w:sz="12"/>
          <w:insideH w:val="single" w:color="CFD8DC" w:sz="4"/>
          <w:insideV w:val="single" w:color="CFD8DC" w:sz="4"/>
        </w:tblBorders>
      </w:tblPr>
      <w:tblGrid>
        <w:gridCol w:w="1500"/>
        <w:gridCol w:w="2500"/>
        <w:gridCol w:w="5300"/>
      </w:tblGrid>
      <w:tr>
        <w:trPr>
          <w:tblHeader/>
        </w:trPr>
        <w:tc>
          <w:tcPr>
            <w:tcW w:w="1500" w:type="dxa"/>
            <w:shd w:val="clear" w:fill="ECEFF1"/>
            <w:tcMar>
              <w:top w:w="60" w:type="dxa"/>
              <w:left w:w="100" w:type="dxa"/>
              <w:bottom w:w="60" w:type="dxa"/>
              <w:right w:w="100" w:type="dxa"/>
            </w:tcMar>
          </w:tcPr>
          <w:p>
            <w:pPr>
              <w:spacing w:before="20" w:after="20" w:line="240" w:lineRule="auto"/>
              <w:jc w:val="left"/>
            </w:pPr>
            <w:r>
              <w:rPr>
                <w:b/>
                <w:color w:val="263238"/>
                <w:sz w:val="18"/>
              </w:rPr>
              <w:t>WEIGHT</w:t>
            </w:r>
          </w:p>
        </w:tc>
        <w:tc>
          <w:tcPr>
            <w:tcW w:w="2500" w:type="dxa"/>
            <w:shd w:val="clear" w:fill="ECEFF1"/>
            <w:tcMar>
              <w:top w:w="60" w:type="dxa"/>
              <w:left w:w="100" w:type="dxa"/>
              <w:bottom w:w="60" w:type="dxa"/>
              <w:right w:w="100" w:type="dxa"/>
            </w:tcMar>
          </w:tcPr>
          <w:p>
            <w:pPr>
              <w:spacing w:before="20" w:after="20" w:line="240" w:lineRule="auto"/>
              <w:jc w:val="left"/>
            </w:pPr>
            <w:r>
              <w:rPr>
                <w:b/>
                <w:color w:val="263238"/>
                <w:sz w:val="18"/>
              </w:rPr>
              <w:t>GROUP</w:t>
            </w:r>
          </w:p>
        </w:tc>
        <w:tc>
          <w:tcPr>
            <w:tcW w:w="5300" w:type="dxa"/>
            <w:shd w:val="clear" w:fill="ECEFF1"/>
            <w:tcMar>
              <w:top w:w="60" w:type="dxa"/>
              <w:left w:w="100" w:type="dxa"/>
              <w:bottom w:w="60" w:type="dxa"/>
              <w:right w:w="100" w:type="dxa"/>
            </w:tcMar>
          </w:tcPr>
          <w:p>
            <w:pPr>
              <w:spacing w:before="20" w:after="20" w:line="240" w:lineRule="auto"/>
              <w:jc w:val="left"/>
            </w:pPr>
            <w:r>
              <w:rPr>
                <w:b/>
                <w:color w:val="263238"/>
                <w:sz w:val="18"/>
              </w:rPr>
              <w:t>WHAT EARNS POINTS (LONGS; SHORTS MIRROR)</w:t>
            </w:r>
          </w:p>
        </w:tc>
      </w:tr>
      <w:tr>
        <w:tc>
          <w:tcPr>
            <w:tcW w:w="1500" w:type="dxa"/>
            <w:tcMar>
              <w:top w:w="60" w:type="dxa"/>
              <w:left w:w="100" w:type="dxa"/>
              <w:bottom w:w="60" w:type="dxa"/>
              <w:right w:w="100" w:type="dxa"/>
            </w:tcMar>
          </w:tcPr>
          <w:p>
            <w:pPr>
              <w:spacing w:before="20" w:after="20" w:line="240" w:lineRule="auto"/>
              <w:jc w:val="left"/>
            </w:pPr>
            <w:r>
              <w:rPr>
                <w:color w:val="37474F"/>
                <w:sz w:val="18"/>
              </w:rPr>
              <w:t>20</w:t>
            </w:r>
          </w:p>
        </w:tc>
        <w:tc>
          <w:tcPr>
            <w:tcW w:w="2500" w:type="dxa"/>
            <w:tcMar>
              <w:top w:w="60" w:type="dxa"/>
              <w:left w:w="100" w:type="dxa"/>
              <w:bottom w:w="60" w:type="dxa"/>
              <w:right w:w="100" w:type="dxa"/>
            </w:tcMar>
          </w:tcPr>
          <w:p>
            <w:pPr>
              <w:spacing w:before="20" w:after="20" w:line="240" w:lineRule="auto"/>
              <w:jc w:val="left"/>
            </w:pPr>
            <w:r>
              <w:rPr>
                <w:color w:val="37474F"/>
                <w:sz w:val="18"/>
              </w:rPr>
              <w:t>Market Structure</w:t>
            </w:r>
          </w:p>
        </w:tc>
        <w:tc>
          <w:tcPr>
            <w:tcW w:w="5300" w:type="dxa"/>
            <w:tcMar>
              <w:top w:w="60" w:type="dxa"/>
              <w:left w:w="100" w:type="dxa"/>
              <w:bottom w:w="60" w:type="dxa"/>
              <w:right w:w="100" w:type="dxa"/>
            </w:tcMar>
          </w:tcPr>
          <w:p>
            <w:pPr>
              <w:spacing w:before="20" w:after="20" w:line="240" w:lineRule="auto"/>
              <w:jc w:val="left"/>
            </w:pPr>
            <w:r>
              <w:rPr>
                <w:color w:val="37474F"/>
                <w:sz w:val="18"/>
              </w:rPr>
              <w:t>BOS 30% | CHoCH 20% | discount 15% | bullish OB/FVG touch 25% | low-sweep bonus 10% (capped)</w:t>
            </w:r>
          </w:p>
        </w:tc>
      </w:tr>
      <w:tr>
        <w:tc>
          <w:tcPr>
            <w:tcW w:w="1500" w:type="dxa"/>
            <w:tcMar>
              <w:top w:w="60" w:type="dxa"/>
              <w:left w:w="100" w:type="dxa"/>
              <w:bottom w:w="60" w:type="dxa"/>
              <w:right w:w="100" w:type="dxa"/>
            </w:tcMar>
          </w:tcPr>
          <w:p>
            <w:pPr>
              <w:spacing w:before="20" w:after="20" w:line="240" w:lineRule="auto"/>
              <w:jc w:val="left"/>
            </w:pPr>
            <w:r>
              <w:rPr>
                <w:color w:val="37474F"/>
                <w:sz w:val="18"/>
              </w:rPr>
              <w:t>15</w:t>
            </w:r>
          </w:p>
        </w:tc>
        <w:tc>
          <w:tcPr>
            <w:tcW w:w="2500" w:type="dxa"/>
            <w:tcMar>
              <w:top w:w="60" w:type="dxa"/>
              <w:left w:w="100" w:type="dxa"/>
              <w:bottom w:w="60" w:type="dxa"/>
              <w:right w:w="100" w:type="dxa"/>
            </w:tcMar>
          </w:tcPr>
          <w:p>
            <w:pPr>
              <w:spacing w:before="20" w:after="20" w:line="240" w:lineRule="auto"/>
              <w:jc w:val="left"/>
            </w:pPr>
            <w:r>
              <w:rPr>
                <w:color w:val="37474F"/>
                <w:sz w:val="18"/>
              </w:rPr>
              <w:t>VWAP Stack</w:t>
            </w:r>
          </w:p>
        </w:tc>
        <w:tc>
          <w:tcPr>
            <w:tcW w:w="5300" w:type="dxa"/>
            <w:tcMar>
              <w:top w:w="60" w:type="dxa"/>
              <w:left w:w="100" w:type="dxa"/>
              <w:bottom w:w="60" w:type="dxa"/>
              <w:right w:w="100" w:type="dxa"/>
            </w:tcMar>
          </w:tcPr>
          <w:p>
            <w:pPr>
              <w:spacing w:before="20" w:after="20" w:line="240" w:lineRule="auto"/>
              <w:jc w:val="left"/>
            </w:pPr>
            <w:r>
              <w:rPr>
                <w:color w:val="37474F"/>
                <w:sz w:val="18"/>
              </w:rPr>
              <w:t>above daily+weekly 60% | above quarterly 40%</w:t>
            </w:r>
          </w:p>
        </w:tc>
      </w:tr>
      <w:tr>
        <w:tc>
          <w:tcPr>
            <w:tcW w:w="1500" w:type="dxa"/>
            <w:tcMar>
              <w:top w:w="60" w:type="dxa"/>
              <w:left w:w="100" w:type="dxa"/>
              <w:bottom w:w="60" w:type="dxa"/>
              <w:right w:w="100" w:type="dxa"/>
            </w:tcMar>
          </w:tcPr>
          <w:p>
            <w:pPr>
              <w:spacing w:before="20" w:after="20" w:line="240" w:lineRule="auto"/>
              <w:jc w:val="left"/>
            </w:pPr>
            <w:r>
              <w:rPr>
                <w:color w:val="37474F"/>
                <w:sz w:val="18"/>
              </w:rPr>
              <w:t>15</w:t>
            </w:r>
          </w:p>
        </w:tc>
        <w:tc>
          <w:tcPr>
            <w:tcW w:w="2500" w:type="dxa"/>
            <w:tcMar>
              <w:top w:w="60" w:type="dxa"/>
              <w:left w:w="100" w:type="dxa"/>
              <w:bottom w:w="60" w:type="dxa"/>
              <w:right w:w="100" w:type="dxa"/>
            </w:tcMar>
          </w:tcPr>
          <w:p>
            <w:pPr>
              <w:spacing w:before="20" w:after="20" w:line="240" w:lineRule="auto"/>
              <w:jc w:val="left"/>
            </w:pPr>
            <w:r>
              <w:rPr>
                <w:color w:val="37474F"/>
                <w:sz w:val="18"/>
              </w:rPr>
              <w:t>Delta Flow</w:t>
            </w:r>
          </w:p>
        </w:tc>
        <w:tc>
          <w:tcPr>
            <w:tcW w:w="5300" w:type="dxa"/>
            <w:tcMar>
              <w:top w:w="60" w:type="dxa"/>
              <w:left w:w="100" w:type="dxa"/>
              <w:bottom w:w="60" w:type="dxa"/>
              <w:right w:w="100" w:type="dxa"/>
            </w:tcMar>
          </w:tcPr>
          <w:p>
            <w:pPr>
              <w:spacing w:before="20" w:after="20" w:line="240" w:lineRule="auto"/>
              <w:jc w:val="left"/>
            </w:pPr>
            <w:r>
              <w:rPr>
                <w:color w:val="37474F"/>
                <w:sz w:val="18"/>
              </w:rPr>
              <w:t>pressure &gt; +0.2: 30% | CumDeltaSlope &gt; 0: 25% | bullish divergence: 25% | delta flip up: 20%</w:t>
            </w:r>
          </w:p>
        </w:tc>
      </w:tr>
      <w:tr>
        <w:tc>
          <w:tcPr>
            <w:tcW w:w="1500" w:type="dxa"/>
            <w:tcMar>
              <w:top w:w="60" w:type="dxa"/>
              <w:left w:w="100" w:type="dxa"/>
              <w:bottom w:w="60" w:type="dxa"/>
              <w:right w:w="100" w:type="dxa"/>
            </w:tcMar>
          </w:tcPr>
          <w:p>
            <w:pPr>
              <w:spacing w:before="20" w:after="20" w:line="240" w:lineRule="auto"/>
              <w:jc w:val="left"/>
            </w:pPr>
            <w:r>
              <w:rPr>
                <w:color w:val="37474F"/>
                <w:sz w:val="18"/>
              </w:rPr>
              <w:t>12</w:t>
            </w:r>
          </w:p>
        </w:tc>
        <w:tc>
          <w:tcPr>
            <w:tcW w:w="2500" w:type="dxa"/>
            <w:tcMar>
              <w:top w:w="60" w:type="dxa"/>
              <w:left w:w="100" w:type="dxa"/>
              <w:bottom w:w="60" w:type="dxa"/>
              <w:right w:w="100" w:type="dxa"/>
            </w:tcMar>
          </w:tcPr>
          <w:p>
            <w:pPr>
              <w:spacing w:before="20" w:after="20" w:line="240" w:lineRule="auto"/>
              <w:jc w:val="left"/>
            </w:pPr>
            <w:r>
              <w:rPr>
                <w:color w:val="37474F"/>
                <w:sz w:val="18"/>
              </w:rPr>
              <w:t>Volume Profile</w:t>
            </w:r>
          </w:p>
        </w:tc>
        <w:tc>
          <w:tcPr>
            <w:tcW w:w="5300" w:type="dxa"/>
            <w:tcMar>
              <w:top w:w="60" w:type="dxa"/>
              <w:left w:w="100" w:type="dxa"/>
              <w:bottom w:w="60" w:type="dxa"/>
              <w:right w:w="100" w:type="dxa"/>
            </w:tcMar>
          </w:tcPr>
          <w:p>
            <w:pPr>
              <w:spacing w:before="20" w:after="20" w:line="240" w:lineRule="auto"/>
              <w:jc w:val="left"/>
            </w:pPr>
            <w:r>
              <w:rPr>
                <w:color w:val="37474F"/>
                <w:sz w:val="18"/>
              </w:rPr>
              <w:t>above VAH with LVN below: 40% | bounce off VAL/POC within 0.3xATR with bullish close: 60%</w:t>
            </w:r>
          </w:p>
        </w:tc>
      </w:tr>
      <w:tr>
        <w:tc>
          <w:tcPr>
            <w:tcW w:w="1500" w:type="dxa"/>
            <w:tcMar>
              <w:top w:w="60" w:type="dxa"/>
              <w:left w:w="100" w:type="dxa"/>
              <w:bottom w:w="60" w:type="dxa"/>
              <w:right w:w="100" w:type="dxa"/>
            </w:tcMar>
          </w:tcPr>
          <w:p>
            <w:pPr>
              <w:spacing w:before="20" w:after="20" w:line="240" w:lineRule="auto"/>
              <w:jc w:val="left"/>
            </w:pPr>
            <w:r>
              <w:rPr>
                <w:color w:val="37474F"/>
                <w:sz w:val="18"/>
              </w:rPr>
              <w:t>10</w:t>
            </w:r>
          </w:p>
        </w:tc>
        <w:tc>
          <w:tcPr>
            <w:tcW w:w="2500" w:type="dxa"/>
            <w:tcMar>
              <w:top w:w="60" w:type="dxa"/>
              <w:left w:w="100" w:type="dxa"/>
              <w:bottom w:w="60" w:type="dxa"/>
              <w:right w:w="100" w:type="dxa"/>
            </w:tcMar>
          </w:tcPr>
          <w:p>
            <w:pPr>
              <w:spacing w:before="20" w:after="20" w:line="240" w:lineRule="auto"/>
              <w:jc w:val="left"/>
            </w:pPr>
            <w:r>
              <w:rPr>
                <w:color w:val="37474F"/>
                <w:sz w:val="18"/>
              </w:rPr>
              <w:t>Money Flow</w:t>
            </w:r>
          </w:p>
        </w:tc>
        <w:tc>
          <w:tcPr>
            <w:tcW w:w="5300" w:type="dxa"/>
            <w:tcMar>
              <w:top w:w="60" w:type="dxa"/>
              <w:left w:w="100" w:type="dxa"/>
              <w:bottom w:w="60" w:type="dxa"/>
              <w:right w:w="100" w:type="dxa"/>
            </w:tcMar>
          </w:tcPr>
          <w:p>
            <w:pPr>
              <w:spacing w:before="20" w:after="20" w:line="240" w:lineRule="auto"/>
              <w:jc w:val="left"/>
            </w:pPr>
            <w:r>
              <w:rPr>
                <w:color w:val="37474F"/>
                <w:sz w:val="18"/>
              </w:rPr>
              <w:t>MoneyFlowBullish: 40% | MFI 50-70 with pressure: 30% | on high-traded node in bull context: 30%</w:t>
            </w:r>
          </w:p>
        </w:tc>
      </w:tr>
      <w:tr>
        <w:tc>
          <w:tcPr>
            <w:tcW w:w="1500" w:type="dxa"/>
            <w:tcMar>
              <w:top w:w="60" w:type="dxa"/>
              <w:left w:w="100" w:type="dxa"/>
              <w:bottom w:w="60" w:type="dxa"/>
              <w:right w:w="100" w:type="dxa"/>
            </w:tcMar>
          </w:tcPr>
          <w:p>
            <w:pPr>
              <w:spacing w:before="20" w:after="20" w:line="240" w:lineRule="auto"/>
              <w:jc w:val="left"/>
            </w:pPr>
            <w:r>
              <w:rPr>
                <w:color w:val="37474F"/>
                <w:sz w:val="18"/>
              </w:rPr>
              <w:t>10</w:t>
            </w:r>
          </w:p>
        </w:tc>
        <w:tc>
          <w:tcPr>
            <w:tcW w:w="2500" w:type="dxa"/>
            <w:tcMar>
              <w:top w:w="60" w:type="dxa"/>
              <w:left w:w="100" w:type="dxa"/>
              <w:bottom w:w="60" w:type="dxa"/>
              <w:right w:w="100" w:type="dxa"/>
            </w:tcMar>
          </w:tcPr>
          <w:p>
            <w:pPr>
              <w:spacing w:before="20" w:after="20" w:line="240" w:lineRule="auto"/>
              <w:jc w:val="left"/>
            </w:pPr>
            <w:r>
              <w:rPr>
                <w:color w:val="37474F"/>
                <w:sz w:val="18"/>
              </w:rPr>
              <w:t>AMD Phase</w:t>
            </w:r>
          </w:p>
        </w:tc>
        <w:tc>
          <w:tcPr>
            <w:tcW w:w="5300" w:type="dxa"/>
            <w:tcMar>
              <w:top w:w="60" w:type="dxa"/>
              <w:left w:w="100" w:type="dxa"/>
              <w:bottom w:w="60" w:type="dxa"/>
              <w:right w:w="100" w:type="dxa"/>
            </w:tcMar>
          </w:tcPr>
          <w:p>
            <w:pPr>
              <w:spacing w:before="20" w:after="20" w:line="240" w:lineRule="auto"/>
              <w:jc w:val="left"/>
            </w:pPr>
            <w:r>
              <w:rPr>
                <w:color w:val="37474F"/>
                <w:sz w:val="18"/>
              </w:rPr>
              <w:t>manipulation (down-sweep): 100% | accumulation: 70% | distribution: 0% for longs</w:t>
            </w:r>
          </w:p>
        </w:tc>
      </w:tr>
      <w:tr>
        <w:tc>
          <w:tcPr>
            <w:tcW w:w="1500" w:type="dxa"/>
            <w:tcMar>
              <w:top w:w="60" w:type="dxa"/>
              <w:left w:w="100" w:type="dxa"/>
              <w:bottom w:w="60" w:type="dxa"/>
              <w:right w:w="100" w:type="dxa"/>
            </w:tcMar>
          </w:tcPr>
          <w:p>
            <w:pPr>
              <w:spacing w:before="20" w:after="20" w:line="240" w:lineRule="auto"/>
              <w:jc w:val="left"/>
            </w:pPr>
            <w:r>
              <w:rPr>
                <w:color w:val="37474F"/>
                <w:sz w:val="18"/>
              </w:rPr>
              <w:t>10</w:t>
            </w:r>
          </w:p>
        </w:tc>
        <w:tc>
          <w:tcPr>
            <w:tcW w:w="2500" w:type="dxa"/>
            <w:tcMar>
              <w:top w:w="60" w:type="dxa"/>
              <w:left w:w="100" w:type="dxa"/>
              <w:bottom w:w="60" w:type="dxa"/>
              <w:right w:w="100" w:type="dxa"/>
            </w:tcMar>
          </w:tcPr>
          <w:p>
            <w:pPr>
              <w:spacing w:before="20" w:after="20" w:line="240" w:lineRule="auto"/>
              <w:jc w:val="left"/>
            </w:pPr>
            <w:r>
              <w:rPr>
                <w:color w:val="37474F"/>
                <w:sz w:val="18"/>
              </w:rPr>
              <w:t>Regime</w:t>
            </w:r>
          </w:p>
        </w:tc>
        <w:tc>
          <w:tcPr>
            <w:tcW w:w="5300" w:type="dxa"/>
            <w:tcMar>
              <w:top w:w="60" w:type="dxa"/>
              <w:left w:w="100" w:type="dxa"/>
              <w:bottom w:w="60" w:type="dxa"/>
              <w:right w:w="100" w:type="dxa"/>
            </w:tcMar>
          </w:tcPr>
          <w:p>
            <w:pPr>
              <w:spacing w:before="20" w:after="20" w:line="240" w:lineRule="auto"/>
              <w:jc w:val="left"/>
            </w:pPr>
            <w:r>
              <w:rPr>
                <w:color w:val="37474F"/>
                <w:sz w:val="18"/>
              </w:rPr>
              <w:t>TREND_UP: 60% | momentum &gt; +0.2: 40% | RANGE: capped at 30% and only in discount | QUIET: 0</w:t>
            </w:r>
          </w:p>
        </w:tc>
      </w:tr>
      <w:tr>
        <w:tc>
          <w:tcPr>
            <w:tcW w:w="1500" w:type="dxa"/>
            <w:tcMar>
              <w:top w:w="60" w:type="dxa"/>
              <w:left w:w="100" w:type="dxa"/>
              <w:bottom w:w="60" w:type="dxa"/>
              <w:right w:w="100" w:type="dxa"/>
            </w:tcMar>
          </w:tcPr>
          <w:p>
            <w:pPr>
              <w:spacing w:before="20" w:after="20" w:line="240" w:lineRule="auto"/>
              <w:jc w:val="left"/>
            </w:pPr>
            <w:r>
              <w:rPr>
                <w:color w:val="37474F"/>
                <w:sz w:val="18"/>
              </w:rPr>
              <w:t>8</w:t>
            </w:r>
          </w:p>
        </w:tc>
        <w:tc>
          <w:tcPr>
            <w:tcW w:w="2500" w:type="dxa"/>
            <w:tcMar>
              <w:top w:w="60" w:type="dxa"/>
              <w:left w:w="100" w:type="dxa"/>
              <w:bottom w:w="60" w:type="dxa"/>
              <w:right w:w="100" w:type="dxa"/>
            </w:tcMar>
          </w:tcPr>
          <w:p>
            <w:pPr>
              <w:spacing w:before="20" w:after="20" w:line="240" w:lineRule="auto"/>
              <w:jc w:val="left"/>
            </w:pPr>
            <w:r>
              <w:rPr>
                <w:color w:val="37474F"/>
                <w:sz w:val="18"/>
              </w:rPr>
              <w:t>Order Book (tier-aware)</w:t>
            </w:r>
          </w:p>
        </w:tc>
        <w:tc>
          <w:tcPr>
            <w:tcW w:w="5300" w:type="dxa"/>
            <w:tcMar>
              <w:top w:w="60" w:type="dxa"/>
              <w:left w:w="100" w:type="dxa"/>
              <w:bottom w:w="60" w:type="dxa"/>
              <w:right w:w="100" w:type="dxa"/>
            </w:tcMar>
          </w:tcPr>
          <w:p>
            <w:pPr>
              <w:spacing w:before="20" w:after="20" w:line="240" w:lineRule="auto"/>
              <w:jc w:val="left"/>
            </w:pPr>
            <w:r>
              <w:rPr>
                <w:color w:val="37474F"/>
                <w:sz w:val="18"/>
              </w:rPr>
              <w:t>DOM: imbalance 55% + OFI 20% + tape 25% | SYNTH: 45/30/25 | TAPE: OFI 50% + tape 50%</w:t>
            </w:r>
          </w:p>
        </w:tc>
      </w:tr>
    </w:tbl>
    <w:p>
      <w:pPr>
        <w:pStyle w:val="Heading2"/>
      </w:pPr>
      <w:r>
        <w:t>12.2 Adaptive Thresholds</w:t>
      </w:r>
    </w:p>
    <w:p>
      <w:r>
        <w:t>Both sides are scored every bar (weights normalised to 100). The winning side must (a) lead by at least 8 points — the coin-flip killer; (b) clear the adaptive minimum: base 70, −5 in BREAKOUT (evidence arrives fast — allow it), +999 in QUIET (no trade), +5 in ASIA (thin tape, demand more). Range-mode experimentation is governed by the Section 19 evidence protocol after the v2.0 research rejected naive range-trigger trading.</w:t>
      </w:r>
    </w:p>
    <w:p>
      <w:pPr>
        <w:pStyle w:val="Heading2"/>
      </w:pPr>
      <w:r>
        <w:t>12.3 Trade Synthesis (SL/TP)</w:t>
      </w:r>
    </w:p>
    <w:tbl>
      <w:tblPr>
        <w:tblW w:w="5000" w:type="pct"/>
        <w:tblBorders>
          <w:top w:val="single" w:color="B8860B" w:sz="12"/>
          <w:bottom w:val="single" w:color="B8860B" w:sz="12"/>
          <w:insideH w:val="single" w:color="CFD8DC" w:sz="4"/>
          <w:insideV w:val="single" w:color="CFD8DC" w:sz="4"/>
        </w:tblBorders>
      </w:tblPr>
      <w:tblGrid>
        <w:gridCol w:w="2600"/>
        <w:gridCol w:w="6700"/>
      </w:tblGrid>
      <w:tr>
        <w:trPr>
          <w:tblHeader/>
        </w:trPr>
        <w:tc>
          <w:tcPr>
            <w:tcW w:w="2600" w:type="dxa"/>
            <w:shd w:val="clear" w:fill="ECEFF1"/>
            <w:tcMar>
              <w:top w:w="60" w:type="dxa"/>
              <w:left w:w="100" w:type="dxa"/>
              <w:bottom w:w="60" w:type="dxa"/>
              <w:right w:w="100" w:type="dxa"/>
            </w:tcMar>
          </w:tcPr>
          <w:p>
            <w:pPr>
              <w:spacing w:before="20" w:after="20" w:line="240" w:lineRule="auto"/>
              <w:jc w:val="left"/>
            </w:pPr>
            <w:r>
              <w:rPr>
                <w:b/>
                <w:color w:val="263238"/>
                <w:sz w:val="18"/>
              </w:rPr>
              <w:t>COMPONENT</w:t>
            </w:r>
          </w:p>
        </w:tc>
        <w:tc>
          <w:tcPr>
            <w:tcW w:w="6700" w:type="dxa"/>
            <w:shd w:val="clear" w:fill="ECEFF1"/>
            <w:tcMar>
              <w:top w:w="60" w:type="dxa"/>
              <w:left w:w="100" w:type="dxa"/>
              <w:bottom w:w="60" w:type="dxa"/>
              <w:right w:w="100" w:type="dxa"/>
            </w:tcMar>
          </w:tcPr>
          <w:p>
            <w:pPr>
              <w:spacing w:before="20" w:after="20" w:line="240" w:lineRule="auto"/>
              <w:jc w:val="left"/>
            </w:pPr>
            <w:r>
              <w:rPr>
                <w:b/>
                <w:color w:val="263238"/>
                <w:sz w:val="18"/>
              </w:rPr>
              <w:t>RULE</w:t>
            </w:r>
          </w:p>
        </w:tc>
      </w:tr>
      <w:tr>
        <w:tc>
          <w:tcPr>
            <w:tcW w:w="2600" w:type="dxa"/>
            <w:tcMar>
              <w:top w:w="60" w:type="dxa"/>
              <w:left w:w="100" w:type="dxa"/>
              <w:bottom w:w="60" w:type="dxa"/>
              <w:right w:w="100" w:type="dxa"/>
            </w:tcMar>
          </w:tcPr>
          <w:p>
            <w:pPr>
              <w:spacing w:before="20" w:after="20" w:line="240" w:lineRule="auto"/>
              <w:jc w:val="left"/>
            </w:pPr>
            <w:r>
              <w:rPr>
                <w:color w:val="37474F"/>
                <w:sz w:val="18"/>
              </w:rPr>
              <w:t>Entry</w:t>
            </w:r>
          </w:p>
        </w:tc>
        <w:tc>
          <w:tcPr>
            <w:tcW w:w="6700" w:type="dxa"/>
            <w:tcMar>
              <w:top w:w="60" w:type="dxa"/>
              <w:left w:w="100" w:type="dxa"/>
              <w:bottom w:w="60" w:type="dxa"/>
              <w:right w:w="100" w:type="dxa"/>
            </w:tcMar>
          </w:tcPr>
          <w:p>
            <w:pPr>
              <w:spacing w:before="20" w:after="20" w:line="240" w:lineRule="auto"/>
              <w:jc w:val="left"/>
            </w:pPr>
            <w:r>
              <w:rPr>
                <w:color w:val="37474F"/>
                <w:sz w:val="18"/>
              </w:rPr>
              <w:t>Market, at signal bar close (next bar open in execution)</w:t>
            </w:r>
          </w:p>
        </w:tc>
      </w:tr>
      <w:tr>
        <w:tc>
          <w:tcPr>
            <w:tcW w:w="2600" w:type="dxa"/>
            <w:tcMar>
              <w:top w:w="60" w:type="dxa"/>
              <w:left w:w="100" w:type="dxa"/>
              <w:bottom w:w="60" w:type="dxa"/>
              <w:right w:w="100" w:type="dxa"/>
            </w:tcMar>
          </w:tcPr>
          <w:p>
            <w:pPr>
              <w:spacing w:before="20" w:after="20" w:line="240" w:lineRule="auto"/>
              <w:jc w:val="left"/>
            </w:pPr>
            <w:r>
              <w:rPr>
                <w:color w:val="37474F"/>
                <w:sz w:val="18"/>
              </w:rPr>
              <w:t>Stop</w:t>
            </w:r>
          </w:p>
        </w:tc>
        <w:tc>
          <w:tcPr>
            <w:tcW w:w="6700" w:type="dxa"/>
            <w:tcMar>
              <w:top w:w="60" w:type="dxa"/>
              <w:left w:w="100" w:type="dxa"/>
              <w:bottom w:w="60" w:type="dxa"/>
              <w:right w:w="100" w:type="dxa"/>
            </w:tcMar>
          </w:tcPr>
          <w:p>
            <w:pPr>
              <w:spacing w:before="20" w:after="20" w:line="240" w:lineRule="auto"/>
              <w:jc w:val="left"/>
            </w:pPr>
            <w:r>
              <w:rPr>
                <w:color w:val="37474F"/>
                <w:sz w:val="18"/>
              </w:rPr>
              <w:t>Beyond invalidating structure: min(last swing low, active OB low) − 0.3xATR buffer for longs (mirror shorts); clamped to [0.8, 2.2]xATR; fallback 1.5xATR when no structure</w:t>
            </w:r>
          </w:p>
        </w:tc>
      </w:tr>
      <w:tr>
        <w:tc>
          <w:tcPr>
            <w:tcW w:w="2600" w:type="dxa"/>
            <w:tcMar>
              <w:top w:w="60" w:type="dxa"/>
              <w:left w:w="100" w:type="dxa"/>
              <w:bottom w:w="60" w:type="dxa"/>
              <w:right w:w="100" w:type="dxa"/>
            </w:tcMar>
          </w:tcPr>
          <w:p>
            <w:pPr>
              <w:spacing w:before="20" w:after="20" w:line="240" w:lineRule="auto"/>
              <w:jc w:val="left"/>
            </w:pPr>
            <w:r>
              <w:rPr>
                <w:color w:val="37474F"/>
                <w:sz w:val="18"/>
              </w:rPr>
              <w:t>Targets</w:t>
            </w:r>
          </w:p>
        </w:tc>
        <w:tc>
          <w:tcPr>
            <w:tcW w:w="6700" w:type="dxa"/>
            <w:tcMar>
              <w:top w:w="60" w:type="dxa"/>
              <w:left w:w="100" w:type="dxa"/>
              <w:bottom w:w="60" w:type="dxa"/>
              <w:right w:w="100" w:type="dxa"/>
            </w:tcMar>
          </w:tcPr>
          <w:p>
            <w:pPr>
              <w:spacing w:before="20" w:after="20" w:line="240" w:lineRule="auto"/>
              <w:jc w:val="left"/>
            </w:pPr>
            <w:r>
              <w:rPr>
                <w:color w:val="37474F"/>
                <w:sz w:val="18"/>
              </w:rPr>
              <w:t>TP1 = 1R, TP2 = 2R, TP3 = 3R — each scaled by VolFactor (0.5–1.5) so targets breathe with volatility</w:t>
            </w:r>
          </w:p>
        </w:tc>
      </w:tr>
      <w:tr>
        <w:tc>
          <w:tcPr>
            <w:tcW w:w="2600" w:type="dxa"/>
            <w:tcMar>
              <w:top w:w="60" w:type="dxa"/>
              <w:left w:w="100" w:type="dxa"/>
              <w:bottom w:w="60" w:type="dxa"/>
              <w:right w:w="100" w:type="dxa"/>
            </w:tcMar>
          </w:tcPr>
          <w:p>
            <w:pPr>
              <w:spacing w:before="20" w:after="20" w:line="240" w:lineRule="auto"/>
              <w:jc w:val="left"/>
            </w:pPr>
            <w:r>
              <w:rPr>
                <w:color w:val="37474F"/>
                <w:sz w:val="18"/>
              </w:rPr>
              <w:t>Signal body</w:t>
            </w:r>
          </w:p>
        </w:tc>
        <w:tc>
          <w:tcPr>
            <w:tcW w:w="6700" w:type="dxa"/>
            <w:tcMar>
              <w:top w:w="60" w:type="dxa"/>
              <w:left w:w="100" w:type="dxa"/>
              <w:bottom w:w="60" w:type="dxa"/>
              <w:right w:w="100" w:type="dxa"/>
            </w:tcMar>
          </w:tcPr>
          <w:p>
            <w:pPr>
              <w:spacing w:before="20" w:after="20" w:line="240" w:lineRule="auto"/>
              <w:jc w:val="left"/>
            </w:pPr>
            <w:r>
              <w:rPr>
                <w:color w:val="37474F"/>
                <w:sz w:val="18"/>
              </w:rPr>
              <w:t>dir, score, minScore, entry/SL/TP1/2/3, RR, ATR, regime, session, phase, setup name, reason list, bar time; dedupe per bar+direction</w:t>
            </w:r>
          </w:p>
        </w:tc>
      </w:tr>
    </w:tbl>
    <w:p>
      <w:pPr>
        <w:pStyle w:val="Heading2"/>
      </w:pPr>
      <w:r>
        <w:t>12.4 Pseudo-Code</w:t>
      </w:r>
    </w:p>
    <w:tbl>
      <w:tblPr>
        <w:tblW w:w="5000" w:type="pct"/>
        <w:tblBorders>
          <w:top w:val="single" w:color="B8860B" w:sz="6"/>
          <w:left w:val="single" w:color="B8860B" w:sz="6"/>
          <w:bottom w:val="single" w:color="B8860B" w:sz="6"/>
          <w:right w:val="single" w:color="B8860B" w:sz="6"/>
        </w:tblBorders>
      </w:tblPr>
      <w:tblGrid>
        <w:gridCol w:w="9300"/>
      </w:tblGrid>
      <w:tr>
        <w:tc>
          <w:tcPr>
            <w:tcW w:w="9300" w:type="dxa"/>
            <w:shd w:val="clear" w:fill="1C262B"/>
            <w:tcMar>
              <w:top w:w="80" w:type="dxa"/>
              <w:left w:w="160" w:type="dxa"/>
              <w:bottom w:w="80" w:type="dxa"/>
            </w:tcMar>
          </w:tcPr>
          <w:p>
            <w:r>
              <w:rPr>
                <w:rFonts w:ascii="Consolas" w:hAnsi="Consolas"/>
                <w:b/>
                <w:color w:val="D4AF37"/>
                <w:sz w:val="17"/>
              </w:rPr>
              <w:t>CONFLUENCE ENGINE — pseudo-code</w:t>
            </w:r>
          </w:p>
        </w:tc>
      </w:tr>
      <w:tr>
        <w:tc>
          <w:tcPr>
            <w:tcW w:w="9300" w:type="dxa"/>
            <w:shd w:val="clear" w:fill="263238"/>
            <w:tcMar>
              <w:top w:w="100" w:type="dxa"/>
              <w:left w:w="160" w:type="dxa"/>
              <w:bottom w:w="100" w:type="dxa"/>
              <w:right w:w="100" w:type="dxa"/>
            </w:tcMar>
          </w:tcPr>
          <w:p>
            <w:pPr>
              <w:spacing w:before="0" w:after="0" w:line="230" w:lineRule="auto"/>
            </w:pPr>
            <w:r>
              <w:rPr>
                <w:rFonts w:ascii="Consolas" w:hAnsi="Consolas"/>
                <w:color w:val="ECEFF1"/>
                <w:sz w:val="16"/>
              </w:rPr>
              <w:t xml:space="preserve">ON NEW M5 BAR:</w:t>
            </w:r>
          </w:p>
          <w:p>
            <w:pPr>
              <w:spacing w:before="0" w:after="0" w:line="230" w:lineRule="auto"/>
            </w:pPr>
            <w:r>
              <w:rPr>
                <w:rFonts w:ascii="Consolas" w:hAnsi="Consolas"/>
                <w:color w:val="ECEFF1"/>
                <w:sz w:val="16"/>
              </w:rPr>
              <w:t xml:space="preserve">    IF any module unbound or ATR &lt;= 0: RETURN invalid</w:t>
            </w:r>
          </w:p>
          <w:p>
            <w:pPr>
              <w:spacing w:before="0" w:after="0" w:line="230" w:lineRule="auto"/>
            </w:pPr>
            <w:r>
              <w:rPr>
                <w:rFonts w:ascii="Consolas" w:hAnsi="Consolas"/>
                <w:color w:val="ECEFF1"/>
                <w:sz w:val="16"/>
              </w:rPr>
              <w:t xml:space="preserve">    FOR side in {LONG, SHORT}:</w:t>
            </w:r>
          </w:p>
          <w:p>
            <w:pPr>
              <w:spacing w:before="0" w:after="0" w:line="230" w:lineRule="auto"/>
            </w:pPr>
            <w:r>
              <w:rPr>
                <w:rFonts w:ascii="Consolas" w:hAnsi="Consolas"/>
                <w:color w:val="ECEFF1"/>
                <w:sz w:val="16"/>
              </w:rPr>
              <w:t xml:space="preserve">        FOR group in 8 groups: score[side][group] = sublogic(side) // 12.1</w:t>
            </w:r>
          </w:p>
          <w:p>
            <w:pPr>
              <w:spacing w:before="0" w:after="0" w:line="230" w:lineRule="auto"/>
            </w:pPr>
            <w:r>
              <w:rPr>
                <w:rFonts w:ascii="Consolas" w:hAnsi="Consolas"/>
                <w:color w:val="ECEFF1"/>
                <w:sz w:val="16"/>
              </w:rPr>
              <w:t xml:space="preserve">        cap each group at its weight</w:t>
            </w:r>
          </w:p>
          <w:p>
            <w:pPr>
              <w:spacing w:before="0" w:after="0" w:line="230" w:lineRule="auto"/>
            </w:pPr>
            <w:r>
              <w:rPr>
                <w:rFonts w:ascii="Consolas" w:hAnsi="Consolas"/>
                <w:color w:val="ECEFF1"/>
                <w:sz w:val="16"/>
              </w:rPr>
              <w:t xml:space="preserve">    longScore  = SUM(long)  ; shortScore = SUM(short)</w:t>
            </w:r>
          </w:p>
          <w:p>
            <w:pPr>
              <w:spacing w:before="0" w:after="0" w:line="230" w:lineRule="auto"/>
            </w:pPr>
            <w:r>
              <w:rPr>
                <w:rFonts w:ascii="Consolas" w:hAnsi="Consolas"/>
                <w:color w:val="ECEFF1"/>
                <w:sz w:val="16"/>
              </w:rPr>
              <w:t xml:space="preserve">    dir        = higher side; margin = |longScore - shortScore|</w:t>
            </w:r>
          </w:p>
          <w:p>
            <w:pPr>
              <w:spacing w:before="0" w:after="0" w:line="230" w:lineRule="auto"/>
            </w:pPr>
            <w:r>
              <w:rPr>
                <w:rFonts w:ascii="Consolas" w:hAnsi="Consolas"/>
                <w:color w:val="ECEFF1"/>
                <w:sz w:val="16"/>
              </w:rPr>
              <w:t xml:space="preserve">    minScore   = 70 + regimeAdj + sessionAdj            // 12.2</w:t>
            </w:r>
          </w:p>
          <w:p>
            <w:pPr>
              <w:spacing w:before="0" w:after="0" w:line="230" w:lineRule="auto"/>
            </w:pPr>
            <w:r>
              <w:rPr>
                <w:rFonts w:ascii="Consolas" w:hAnsi="Consolas"/>
                <w:color w:val="ECEFF1"/>
                <w:sz w:val="16"/>
              </w:rPr>
              <w:t xml:space="preserve">    valid      = margin &gt;= 8 AND score &gt;= minScore</w:t>
            </w:r>
          </w:p>
          <w:p>
            <w:pPr>
              <w:spacing w:before="0" w:after="0" w:line="230" w:lineRule="auto"/>
            </w:pPr>
            <w:r>
              <w:rPr>
                <w:rFonts w:ascii="Consolas" w:hAnsi="Consolas"/>
                <w:color w:val="ECEFF1"/>
                <w:sz w:val="16"/>
              </w:rPr>
              <w:t xml:space="preserve">    structure  = query swing low/high + active OB edge</w:t>
            </w:r>
          </w:p>
          <w:p>
            <w:pPr>
              <w:spacing w:before="0" w:after="0" w:line="230" w:lineRule="auto"/>
            </w:pPr>
            <w:r>
              <w:rPr>
                <w:rFonts w:ascii="Consolas" w:hAnsi="Consolas"/>
                <w:color w:val="ECEFF1"/>
                <w:sz w:val="16"/>
              </w:rPr>
              <w:t xml:space="preserve">    slDist     = clamp(structDist + 0.3*ATR, 0.8*ATR, 2.2*ATR)</w:t>
            </w:r>
          </w:p>
          <w:p>
            <w:pPr>
              <w:spacing w:before="0" w:after="0" w:line="230" w:lineRule="auto"/>
            </w:pPr>
            <w:r>
              <w:rPr>
                <w:rFonts w:ascii="Consolas" w:hAnsi="Consolas"/>
                <w:color w:val="ECEFF1"/>
                <w:sz w:val="16"/>
              </w:rPr>
              <w:t xml:space="preserve">    sl/tp1/2/3 = entry -/+ slDist, RR x slDist x VolFactor</w:t>
            </w:r>
          </w:p>
          <w:p>
            <w:pPr>
              <w:spacing w:before="0" w:after="0" w:line="230" w:lineRule="auto"/>
            </w:pPr>
            <w:r>
              <w:rPr>
                <w:rFonts w:ascii="Consolas" w:hAnsi="Consolas"/>
                <w:color w:val="ECEFF1"/>
                <w:sz w:val="16"/>
              </w:rPr>
              <w:t xml:space="preserve">    dedupe     : same dir on same bar -&gt; invalid</w:t>
            </w:r>
          </w:p>
          <w:p>
            <w:pPr>
              <w:spacing w:before="0" w:after="0" w:line="230" w:lineRule="auto"/>
            </w:pPr>
            <w:r>
              <w:rPr>
                <w:rFonts w:ascii="Consolas" w:hAnsi="Consolas"/>
                <w:color w:val="ECEFF1"/>
                <w:sz w:val="16"/>
              </w:rPr>
              <w:t xml:space="preserve">    setup      = top-3 contributing groups (e.g. "OB+VWAP+AMD Long")</w:t>
            </w:r>
          </w:p>
          <w:p>
            <w:pPr>
              <w:spacing w:before="0" w:after="0" w:line="230" w:lineRule="auto"/>
            </w:pPr>
            <w:r>
              <w:rPr>
                <w:rFonts w:ascii="Consolas" w:hAnsi="Consolas"/>
                <w:color w:val="ECEFF1"/>
                <w:sz w:val="16"/>
              </w:rPr>
              <w:t xml:space="preserve">    reasons    = every group that scored, with its points</w:t>
            </w:r>
          </w:p>
          <w:p>
            <w:pPr>
              <w:spacing w:before="0" w:after="0" w:line="230" w:lineRule="auto"/>
            </w:pPr>
            <w:r>
              <w:rPr>
                <w:rFonts w:ascii="Consolas" w:hAnsi="Consolas"/>
                <w:color w:val="ECEFF1"/>
                <w:sz w:val="16"/>
              </w:rPr>
              <w:t xml:space="preserve">    RETURN SSignal{ valid, dir, score, minScore, entry, sl, tp1..3, ... }</w:t>
            </w:r>
          </w:p>
        </w:tc>
      </w:tr>
    </w:tbl>
    <w:p>
      <w:pPr>
        <w:pStyle w:val="Heading1"/>
      </w:pPr>
      <w:r>
        <w:t>13. PROP-GRADE RISK MANAGER</w:t>
      </w:r>
      <w:bookmarkStart w:name="_T15" w:id="15"/>
      <w:bookmarkEnd w:id="15"/>
    </w:p>
    <w:p>
      <w:pPr>
        <w:spacing w:after="240"/>
      </w:pPr>
      <w:r>
        <w:rPr>
          <w:i/>
          <w:color w:val="546E7A"/>
        </w:rPr>
        <w:t>The vault. Nothing trades unless the account can afford the loss; everything stops before a prop rule can break.</w:t>
      </w:r>
    </w:p>
    <w:p>
      <w:pPr>
        <w:pStyle w:val="Heading2"/>
      </w:pPr>
      <w:r>
        <w:t>13.1 Risk Rules</w:t>
      </w:r>
    </w:p>
    <w:tbl>
      <w:tblPr>
        <w:tblW w:w="5000" w:type="pct"/>
        <w:tblBorders>
          <w:top w:val="single" w:color="B8860B" w:sz="12"/>
          <w:bottom w:val="single" w:color="B8860B" w:sz="12"/>
          <w:insideH w:val="single" w:color="CFD8DC" w:sz="4"/>
          <w:insideV w:val="single" w:color="CFD8DC" w:sz="4"/>
        </w:tblBorders>
      </w:tblPr>
      <w:tblGrid>
        <w:gridCol w:w="2700"/>
        <w:gridCol w:w="6600"/>
      </w:tblGrid>
      <w:tr>
        <w:trPr>
          <w:tblHeader/>
        </w:trPr>
        <w:tc>
          <w:tcPr>
            <w:tcW w:w="2700" w:type="dxa"/>
            <w:shd w:val="clear" w:fill="ECEFF1"/>
            <w:tcMar>
              <w:top w:w="60" w:type="dxa"/>
              <w:left w:w="100" w:type="dxa"/>
              <w:bottom w:w="60" w:type="dxa"/>
              <w:right w:w="100" w:type="dxa"/>
            </w:tcMar>
          </w:tcPr>
          <w:p>
            <w:pPr>
              <w:spacing w:before="20" w:after="20" w:line="240" w:lineRule="auto"/>
              <w:jc w:val="left"/>
            </w:pPr>
            <w:r>
              <w:rPr>
                <w:b/>
                <w:color w:val="263238"/>
                <w:sz w:val="18"/>
              </w:rPr>
              <w:t>RULE</w:t>
            </w:r>
          </w:p>
        </w:tc>
        <w:tc>
          <w:tcPr>
            <w:tcW w:w="6600" w:type="dxa"/>
            <w:shd w:val="clear" w:fill="ECEFF1"/>
            <w:tcMar>
              <w:top w:w="60" w:type="dxa"/>
              <w:left w:w="100" w:type="dxa"/>
              <w:bottom w:w="60" w:type="dxa"/>
              <w:right w:w="100" w:type="dxa"/>
            </w:tcMar>
          </w:tcPr>
          <w:p>
            <w:pPr>
              <w:spacing w:before="20" w:after="20" w:line="240" w:lineRule="auto"/>
              <w:jc w:val="left"/>
            </w:pPr>
            <w:r>
              <w:rPr>
                <w:b/>
                <w:color w:val="263238"/>
                <w:sz w:val="18"/>
              </w:rPr>
              <w:t>MECHANIC</w:t>
            </w:r>
          </w:p>
        </w:tc>
      </w:tr>
      <w:tr>
        <w:tc>
          <w:tcPr>
            <w:tcW w:w="2700" w:type="dxa"/>
            <w:tcMar>
              <w:top w:w="60" w:type="dxa"/>
              <w:left w:w="100" w:type="dxa"/>
              <w:bottom w:w="60" w:type="dxa"/>
              <w:right w:w="100" w:type="dxa"/>
            </w:tcMar>
          </w:tcPr>
          <w:p>
            <w:pPr>
              <w:spacing w:before="20" w:after="20" w:line="240" w:lineRule="auto"/>
              <w:jc w:val="left"/>
            </w:pPr>
            <w:r>
              <w:rPr>
                <w:color w:val="37474F"/>
                <w:sz w:val="18"/>
              </w:rPr>
              <w:t>Risk per trade</w:t>
            </w:r>
          </w:p>
        </w:tc>
        <w:tc>
          <w:tcPr>
            <w:tcW w:w="6600" w:type="dxa"/>
            <w:tcMar>
              <w:top w:w="60" w:type="dxa"/>
              <w:left w:w="100" w:type="dxa"/>
              <w:bottom w:w="60" w:type="dxa"/>
              <w:right w:w="100" w:type="dxa"/>
            </w:tcMar>
          </w:tcPr>
          <w:p>
            <w:pPr>
              <w:spacing w:before="20" w:after="20" w:line="240" w:lineRule="auto"/>
              <w:jc w:val="left"/>
            </w:pPr>
            <w:r>
              <w:rPr>
                <w:color w:val="37474F"/>
                <w:sz w:val="18"/>
              </w:rPr>
              <w:t>Fixed fraction of equity (default 0.5%; prop preset 0.35%) — compounding by construction</w:t>
            </w:r>
          </w:p>
        </w:tc>
      </w:tr>
      <w:tr>
        <w:tc>
          <w:tcPr>
            <w:tcW w:w="2700" w:type="dxa"/>
            <w:tcMar>
              <w:top w:w="60" w:type="dxa"/>
              <w:left w:w="100" w:type="dxa"/>
              <w:bottom w:w="60" w:type="dxa"/>
              <w:right w:w="100" w:type="dxa"/>
            </w:tcMar>
          </w:tcPr>
          <w:p>
            <w:pPr>
              <w:spacing w:before="20" w:after="20" w:line="240" w:lineRule="auto"/>
              <w:jc w:val="left"/>
            </w:pPr>
            <w:r>
              <w:rPr>
                <w:color w:val="37474F"/>
                <w:sz w:val="18"/>
              </w:rPr>
              <w:t>Daily drawdown guard</w:t>
            </w:r>
          </w:p>
        </w:tc>
        <w:tc>
          <w:tcPr>
            <w:tcW w:w="6600" w:type="dxa"/>
            <w:tcMar>
              <w:top w:w="60" w:type="dxa"/>
              <w:left w:w="100" w:type="dxa"/>
              <w:bottom w:w="60" w:type="dxa"/>
              <w:right w:w="100" w:type="dxa"/>
            </w:tcMar>
          </w:tcPr>
          <w:p>
            <w:pPr>
              <w:spacing w:before="20" w:after="20" w:line="240" w:lineRule="auto"/>
              <w:jc w:val="left"/>
            </w:pPr>
            <w:r>
              <w:rPr>
                <w:color w:val="37474F"/>
                <w:sz w:val="18"/>
              </w:rPr>
              <w:t>Halt at 90% of MaxDailyDDPct measured from day-start equity; auto-resets next server day</w:t>
            </w:r>
          </w:p>
        </w:tc>
      </w:tr>
      <w:tr>
        <w:tc>
          <w:tcPr>
            <w:tcW w:w="2700" w:type="dxa"/>
            <w:tcMar>
              <w:top w:w="60" w:type="dxa"/>
              <w:left w:w="100" w:type="dxa"/>
              <w:bottom w:w="60" w:type="dxa"/>
              <w:right w:w="100" w:type="dxa"/>
            </w:tcMar>
          </w:tcPr>
          <w:p>
            <w:pPr>
              <w:spacing w:before="20" w:after="20" w:line="240" w:lineRule="auto"/>
              <w:jc w:val="left"/>
            </w:pPr>
            <w:r>
              <w:rPr>
                <w:color w:val="37474F"/>
                <w:sz w:val="18"/>
              </w:rPr>
              <w:t>Overall drawdown guard</w:t>
            </w:r>
          </w:p>
        </w:tc>
        <w:tc>
          <w:tcPr>
            <w:tcW w:w="6600" w:type="dxa"/>
            <w:tcMar>
              <w:top w:w="60" w:type="dxa"/>
              <w:left w:w="100" w:type="dxa"/>
              <w:bottom w:w="60" w:type="dxa"/>
              <w:right w:w="100" w:type="dxa"/>
            </w:tcMar>
          </w:tcPr>
          <w:p>
            <w:pPr>
              <w:spacing w:before="20" w:after="20" w:line="240" w:lineRule="auto"/>
              <w:jc w:val="left"/>
            </w:pPr>
            <w:r>
              <w:rPr>
                <w:color w:val="37474F"/>
                <w:sz w:val="18"/>
              </w:rPr>
              <w:t>Halt at 90% of MaxOverallDDPct from persisted baseline; manual reset only (by design)</w:t>
            </w:r>
          </w:p>
        </w:tc>
      </w:tr>
      <w:tr>
        <w:tc>
          <w:tcPr>
            <w:tcW w:w="2700" w:type="dxa"/>
            <w:tcMar>
              <w:top w:w="60" w:type="dxa"/>
              <w:left w:w="100" w:type="dxa"/>
              <w:bottom w:w="60" w:type="dxa"/>
              <w:right w:w="100" w:type="dxa"/>
            </w:tcMar>
          </w:tcPr>
          <w:p>
            <w:pPr>
              <w:spacing w:before="20" w:after="20" w:line="240" w:lineRule="auto"/>
              <w:jc w:val="left"/>
            </w:pPr>
            <w:r>
              <w:rPr>
                <w:color w:val="37474F"/>
                <w:sz w:val="18"/>
              </w:rPr>
              <w:t>Consistency cap (prop mode)</w:t>
            </w:r>
          </w:p>
        </w:tc>
        <w:tc>
          <w:tcPr>
            <w:tcW w:w="6600" w:type="dxa"/>
            <w:tcMar>
              <w:top w:w="60" w:type="dxa"/>
              <w:left w:w="100" w:type="dxa"/>
              <w:bottom w:w="60" w:type="dxa"/>
              <w:right w:w="100" w:type="dxa"/>
            </w:tcMar>
          </w:tcPr>
          <w:p>
            <w:pPr>
              <w:spacing w:before="20" w:after="20" w:line="240" w:lineRule="auto"/>
              <w:jc w:val="left"/>
            </w:pPr>
            <w:r>
              <w:rPr>
                <w:color w:val="37474F"/>
                <w:sz w:val="18"/>
              </w:rPr>
              <w:t>New entries blocked once today's profit &gt;= DailyProfitCapPct — protects prop consistency rules</w:t>
            </w:r>
          </w:p>
        </w:tc>
      </w:tr>
      <w:tr>
        <w:tc>
          <w:tcPr>
            <w:tcW w:w="2700" w:type="dxa"/>
            <w:tcMar>
              <w:top w:w="60" w:type="dxa"/>
              <w:left w:w="100" w:type="dxa"/>
              <w:bottom w:w="60" w:type="dxa"/>
              <w:right w:w="100" w:type="dxa"/>
            </w:tcMar>
          </w:tcPr>
          <w:p>
            <w:pPr>
              <w:spacing w:before="20" w:after="20" w:line="240" w:lineRule="auto"/>
              <w:jc w:val="left"/>
            </w:pPr>
            <w:r>
              <w:rPr>
                <w:color w:val="37474F"/>
                <w:sz w:val="18"/>
              </w:rPr>
              <w:t>Trade frequency</w:t>
            </w:r>
          </w:p>
        </w:tc>
        <w:tc>
          <w:tcPr>
            <w:tcW w:w="6600" w:type="dxa"/>
            <w:tcMar>
              <w:top w:w="60" w:type="dxa"/>
              <w:left w:w="100" w:type="dxa"/>
              <w:bottom w:w="60" w:type="dxa"/>
              <w:right w:w="100" w:type="dxa"/>
            </w:tcMar>
          </w:tcPr>
          <w:p>
            <w:pPr>
              <w:spacing w:before="20" w:after="20" w:line="240" w:lineRule="auto"/>
              <w:jc w:val="left"/>
            </w:pPr>
            <w:r>
              <w:rPr>
                <w:color w:val="37474F"/>
                <w:sz w:val="18"/>
              </w:rPr>
              <w:t>Max trades/day (6; prop 5), one concurrent position</w:t>
            </w:r>
          </w:p>
        </w:tc>
      </w:tr>
      <w:tr>
        <w:tc>
          <w:tcPr>
            <w:tcW w:w="2700" w:type="dxa"/>
            <w:tcMar>
              <w:top w:w="60" w:type="dxa"/>
              <w:left w:w="100" w:type="dxa"/>
              <w:bottom w:w="60" w:type="dxa"/>
              <w:right w:w="100" w:type="dxa"/>
            </w:tcMar>
          </w:tcPr>
          <w:p>
            <w:pPr>
              <w:spacing w:before="20" w:after="20" w:line="240" w:lineRule="auto"/>
              <w:jc w:val="left"/>
            </w:pPr>
            <w:r>
              <w:rPr>
                <w:color w:val="37474F"/>
                <w:sz w:val="18"/>
              </w:rPr>
              <w:t>Spread guard</w:t>
            </w:r>
          </w:p>
        </w:tc>
        <w:tc>
          <w:tcPr>
            <w:tcW w:w="6600" w:type="dxa"/>
            <w:tcMar>
              <w:top w:w="60" w:type="dxa"/>
              <w:left w:w="100" w:type="dxa"/>
              <w:bottom w:w="60" w:type="dxa"/>
              <w:right w:w="100" w:type="dxa"/>
            </w:tcMar>
          </w:tcPr>
          <w:p>
            <w:pPr>
              <w:spacing w:before="20" w:after="20" w:line="240" w:lineRule="auto"/>
              <w:jc w:val="left"/>
            </w:pPr>
            <w:r>
              <w:rPr>
                <w:color w:val="37474F"/>
                <w:sz w:val="18"/>
              </w:rPr>
              <w:t>No entries when spread exceeds MaxSpreadPoints</w:t>
            </w:r>
          </w:p>
        </w:tc>
      </w:tr>
      <w:tr>
        <w:tc>
          <w:tcPr>
            <w:tcW w:w="2700" w:type="dxa"/>
            <w:tcMar>
              <w:top w:w="60" w:type="dxa"/>
              <w:left w:w="100" w:type="dxa"/>
              <w:bottom w:w="60" w:type="dxa"/>
              <w:right w:w="100" w:type="dxa"/>
            </w:tcMar>
          </w:tcPr>
          <w:p>
            <w:pPr>
              <w:spacing w:before="20" w:after="20" w:line="240" w:lineRule="auto"/>
              <w:jc w:val="left"/>
            </w:pPr>
            <w:r>
              <w:rPr>
                <w:color w:val="37474F"/>
                <w:sz w:val="18"/>
              </w:rPr>
              <w:t>Time guards</w:t>
            </w:r>
          </w:p>
        </w:tc>
        <w:tc>
          <w:tcPr>
            <w:tcW w:w="6600" w:type="dxa"/>
            <w:tcMar>
              <w:top w:w="60" w:type="dxa"/>
              <w:left w:w="100" w:type="dxa"/>
              <w:bottom w:w="60" w:type="dxa"/>
              <w:right w:w="100" w:type="dxa"/>
            </w:tcMar>
          </w:tcPr>
          <w:p>
            <w:pPr>
              <w:spacing w:before="20" w:after="20" w:line="240" w:lineRule="auto"/>
              <w:jc w:val="left"/>
            </w:pPr>
            <w:r>
              <w:rPr>
                <w:color w:val="37474F"/>
                <w:sz w:val="18"/>
              </w:rPr>
              <w:t>Session filter, news windows, rollover blackout, Friday cutoff, no weekends</w:t>
            </w:r>
          </w:p>
        </w:tc>
      </w:tr>
    </w:tbl>
    <w:p>
      <w:pPr>
        <w:pStyle w:val="Heading2"/>
      </w:pPr>
      <w:r>
        <w:t>13.2 State Machine &amp; Persistence</w:t>
      </w:r>
    </w:p>
    <w:tbl>
      <w:tblPr>
        <w:tblW w:w="5000" w:type="pct"/>
        <w:tblBorders>
          <w:top w:val="single" w:color="B8860B" w:sz="6"/>
          <w:left w:val="single" w:color="B8860B" w:sz="6"/>
          <w:bottom w:val="single" w:color="B8860B" w:sz="6"/>
          <w:right w:val="single" w:color="B8860B" w:sz="6"/>
        </w:tblBorders>
      </w:tblPr>
      <w:tblGrid>
        <w:gridCol w:w="9300"/>
      </w:tblGrid>
      <w:tr>
        <w:tc>
          <w:tcPr>
            <w:tcW w:w="9300" w:type="dxa"/>
            <w:shd w:val="clear" w:fill="1C262B"/>
            <w:tcMar>
              <w:top w:w="80" w:type="dxa"/>
              <w:left w:w="160" w:type="dxa"/>
              <w:bottom w:w="80" w:type="dxa"/>
            </w:tcMar>
          </w:tcPr>
          <w:p>
            <w:r>
              <w:rPr>
                <w:rFonts w:ascii="Consolas" w:hAnsi="Consolas"/>
                <w:b/>
                <w:color w:val="D4AF37"/>
                <w:sz w:val="17"/>
              </w:rPr>
              <w:t>RISK MANAGER — pseudo-code</w:t>
            </w:r>
          </w:p>
        </w:tc>
      </w:tr>
      <w:tr>
        <w:tc>
          <w:tcPr>
            <w:tcW w:w="9300" w:type="dxa"/>
            <w:shd w:val="clear" w:fill="263238"/>
            <w:tcMar>
              <w:top w:w="100" w:type="dxa"/>
              <w:left w:w="160" w:type="dxa"/>
              <w:bottom w:w="100" w:type="dxa"/>
              <w:right w:w="100" w:type="dxa"/>
            </w:tcMar>
          </w:tcPr>
          <w:p>
            <w:pPr>
              <w:spacing w:before="0" w:after="0" w:line="230" w:lineRule="auto"/>
            </w:pPr>
            <w:r>
              <w:rPr>
                <w:rFonts w:ascii="Consolas" w:hAnsi="Consolas"/>
                <w:color w:val="ECEFF1"/>
                <w:sz w:val="16"/>
              </w:rPr>
              <w:t xml:space="preserve">STATE: baseline, dayStartEquity, dayClosedProfit, tradesToday,</w:t>
            </w:r>
          </w:p>
          <w:p>
            <w:pPr>
              <w:spacing w:before="0" w:after="0" w:line="230" w:lineRule="auto"/>
            </w:pPr>
            <w:r>
              <w:rPr>
                <w:rFonts w:ascii="Consolas" w:hAnsi="Consolas"/>
                <w:color w:val="ECEFF1"/>
                <w:sz w:val="16"/>
              </w:rPr>
              <w:t xml:space="preserve">       halted{flag, reason}, equityHWM, dayStamp</w:t>
            </w:r>
          </w:p>
          <w:p>
            <w:pPr>
              <w:spacing w:before="0" w:after="0" w:line="230" w:lineRule="auto"/>
            </w:pPr>
            <w:r>
              <w:rPr>
                <w:rFonts w:ascii="Consolas" w:hAnsi="Consolas"/>
                <w:color w:val="ECEFF1"/>
                <w:sz w:val="16"/>
              </w:rPr>
              <w:t xml:space="preserve">ON INIT: Restore()  // GlobalVariables primary, file fallback</w:t>
            </w:r>
          </w:p>
          <w:p>
            <w:pPr>
              <w:spacing w:before="0" w:after="0" w:line="230" w:lineRule="auto"/>
            </w:pPr>
            <w:r>
              <w:rPr>
                <w:rFonts w:ascii="Consolas" w:hAnsi="Consolas"/>
                <w:color w:val="ECEFF1"/>
                <w:sz w:val="16"/>
              </w:rPr>
              <w:t xml:space="preserve">         baseline = config.PropBaseline &gt; 0 ? it : persisted : currentBalance</w:t>
            </w:r>
          </w:p>
          <w:p>
            <w:pPr>
              <w:spacing w:before="0" w:after="0" w:line="230" w:lineRule="auto"/>
            </w:pPr>
            <w:r>
              <w:rPr>
                <w:rFonts w:ascii="Consolas" w:hAnsi="Consolas"/>
                <w:color w:val="ECEFF1"/>
                <w:sz w:val="16"/>
              </w:rPr>
              <w:t xml:space="preserve">ON TICK: equity = AccountEquity()</w:t>
            </w:r>
          </w:p>
          <w:p>
            <w:pPr>
              <w:spacing w:before="0" w:after="0" w:line="230" w:lineRule="auto"/>
            </w:pPr>
            <w:r>
              <w:rPr>
                <w:rFonts w:ascii="Consolas" w:hAnsi="Consolas"/>
                <w:color w:val="ECEFF1"/>
                <w:sz w:val="16"/>
              </w:rPr>
              <w:t xml:space="preserve">    IF server date != dayStamp: roll day (reset counters; lift DAILY halt)</w:t>
            </w:r>
          </w:p>
          <w:p>
            <w:pPr>
              <w:spacing w:before="0" w:after="0" w:line="230" w:lineRule="auto"/>
            </w:pPr>
            <w:r>
              <w:rPr>
                <w:rFonts w:ascii="Consolas" w:hAnsi="Consolas"/>
                <w:color w:val="ECEFF1"/>
                <w:sz w:val="16"/>
              </w:rPr>
              <w:t xml:space="preserve">    dailyDD   = 100*(dayStartEquity - equity)/dayStartEquity</w:t>
            </w:r>
          </w:p>
          <w:p>
            <w:pPr>
              <w:spacing w:before="0" w:after="0" w:line="230" w:lineRule="auto"/>
            </w:pPr>
            <w:r>
              <w:rPr>
                <w:rFonts w:ascii="Consolas" w:hAnsi="Consolas"/>
                <w:color w:val="ECEFF1"/>
                <w:sz w:val="16"/>
              </w:rPr>
              <w:t xml:space="preserve">    overallDD = 100*(baseline - equity)/baseline</w:t>
            </w:r>
          </w:p>
          <w:p>
            <w:pPr>
              <w:spacing w:before="0" w:after="0" w:line="230" w:lineRule="auto"/>
            </w:pPr>
            <w:r>
              <w:rPr>
                <w:rFonts w:ascii="Consolas" w:hAnsi="Consolas"/>
                <w:color w:val="ECEFF1"/>
                <w:sz w:val="16"/>
              </w:rPr>
              <w:t xml:space="preserve">    IF dailyDD   &gt;= 0.9*MaxDailyDDPct:   HALT("DAILY_DD")   // closes all</w:t>
            </w:r>
          </w:p>
          <w:p>
            <w:pPr>
              <w:spacing w:before="0" w:after="0" w:line="230" w:lineRule="auto"/>
            </w:pPr>
            <w:r>
              <w:rPr>
                <w:rFonts w:ascii="Consolas" w:hAnsi="Consolas"/>
                <w:color w:val="ECEFF1"/>
                <w:sz w:val="16"/>
              </w:rPr>
              <w:t xml:space="preserve">    IF overallDD &gt;= 0.9*MaxOverallDDPct: HALT("OVERALL_DD") // permanent</w:t>
            </w:r>
          </w:p>
          <w:p>
            <w:pPr>
              <w:spacing w:before="0" w:after="0" w:line="230" w:lineRule="auto"/>
            </w:pPr>
            <w:r>
              <w:rPr>
                <w:rFonts w:ascii="Consolas" w:hAnsi="Consolas"/>
                <w:color w:val="ECEFF1"/>
                <w:sz w:val="16"/>
              </w:rPr>
              <w:t xml:space="preserve">    Persist() on every state change</w:t>
            </w:r>
          </w:p>
          <w:p>
            <w:pPr>
              <w:spacing w:before="0" w:after="0" w:line="230" w:lineRule="auto"/>
            </w:pPr>
            <w:r>
              <w:rPr>
                <w:rFonts w:ascii="Consolas" w:hAnsi="Consolas"/>
                <w:color w:val="ECEFF1"/>
                <w:sz w:val="16"/>
              </w:rPr>
              <w:t xml:space="preserve">CanOpen(why) = NOT halted AND spread ok AND tradesToday &lt; max</w:t>
            </w:r>
          </w:p>
          <w:p>
            <w:pPr>
              <w:spacing w:before="0" w:after="0" w:line="230" w:lineRule="auto"/>
            </w:pPr>
            <w:r>
              <w:rPr>
                <w:rFonts w:ascii="Consolas" w:hAnsi="Consolas"/>
                <w:color w:val="ECEFF1"/>
                <w:sz w:val="16"/>
              </w:rPr>
              <w:t xml:space="preserve">               AND concurrent &lt; max AND NOT profitCapped(prop)</w:t>
            </w:r>
          </w:p>
          <w:p>
            <w:pPr>
              <w:spacing w:before="0" w:after="0" w:line="230" w:lineRule="auto"/>
            </w:pPr>
            <w:r>
              <w:rPr>
                <w:rFonts w:ascii="Consolas" w:hAnsi="Consolas"/>
                <w:color w:val="ECEFF1"/>
                <w:sz w:val="16"/>
              </w:rPr>
              <w:t xml:space="preserve">Manual reset: operator sets APEX_RISK_RESET -&gt; baseline = current balance</w:t>
            </w:r>
          </w:p>
        </w:tc>
      </w:tr>
    </w:tbl>
    <w:p>
      <w:pPr>
        <w:pStyle w:val="Heading2"/>
      </w:pPr>
      <w:r>
        <w:t>13.3 Position Sizing</w:t>
      </w:r>
    </w:p>
    <w:tbl>
      <w:tblPr>
        <w:tblW w:w="5000" w:type="pct"/>
        <w:tblBorders>
          <w:top w:val="single" w:color="B8860B" w:sz="6"/>
          <w:left w:val="single" w:color="B8860B" w:sz="6"/>
          <w:bottom w:val="single" w:color="B8860B" w:sz="6"/>
          <w:right w:val="single" w:color="B8860B" w:sz="6"/>
        </w:tblBorders>
      </w:tblPr>
      <w:tblGrid>
        <w:gridCol w:w="9300"/>
      </w:tblGrid>
      <w:tr>
        <w:tc>
          <w:tcPr>
            <w:tcW w:w="9300" w:type="dxa"/>
            <w:shd w:val="clear" w:fill="1C262B"/>
            <w:tcMar>
              <w:top w:w="80" w:type="dxa"/>
              <w:left w:w="160" w:type="dxa"/>
              <w:bottom w:w="80" w:type="dxa"/>
            </w:tcMar>
          </w:tcPr>
          <w:p>
            <w:r>
              <w:rPr>
                <w:rFonts w:ascii="Consolas" w:hAnsi="Consolas"/>
                <w:b/>
                <w:color w:val="D4AF37"/>
                <w:sz w:val="17"/>
              </w:rPr>
              <w:t>POSITION SIZING — pseudo-code</w:t>
            </w:r>
          </w:p>
        </w:tc>
      </w:tr>
      <w:tr>
        <w:tc>
          <w:tcPr>
            <w:tcW w:w="9300" w:type="dxa"/>
            <w:shd w:val="clear" w:fill="263238"/>
            <w:tcMar>
              <w:top w:w="100" w:type="dxa"/>
              <w:left w:w="160" w:type="dxa"/>
              <w:bottom w:w="100" w:type="dxa"/>
              <w:right w:w="100" w:type="dxa"/>
            </w:tcMar>
          </w:tcPr>
          <w:p>
            <w:pPr>
              <w:spacing w:before="0" w:after="0" w:line="230" w:lineRule="auto"/>
            </w:pPr>
            <w:r>
              <w:rPr>
                <w:rFonts w:ascii="Consolas" w:hAnsi="Consolas"/>
                <w:color w:val="ECEFF1"/>
                <w:sz w:val="16"/>
              </w:rPr>
              <w:t xml:space="preserve">riskMoney   = equity * RiskPerTradePct/100</w:t>
            </w:r>
          </w:p>
          <w:p>
            <w:pPr>
              <w:spacing w:before="0" w:after="0" w:line="230" w:lineRule="auto"/>
            </w:pPr>
            <w:r>
              <w:rPr>
                <w:rFonts w:ascii="Consolas" w:hAnsi="Consolas"/>
                <w:color w:val="ECEFF1"/>
                <w:sz w:val="16"/>
              </w:rPr>
              <w:t xml:space="preserve">slDist      = |entry - stop|</w:t>
            </w:r>
          </w:p>
          <w:p>
            <w:pPr>
              <w:spacing w:before="0" w:after="0" w:line="230" w:lineRule="auto"/>
            </w:pPr>
            <w:r>
              <w:rPr>
                <w:rFonts w:ascii="Consolas" w:hAnsi="Consolas"/>
                <w:color w:val="ECEFF1"/>
                <w:sz w:val="16"/>
              </w:rPr>
              <w:t xml:space="preserve">lossPerLot  = slDist / tickSize * tickValue      // symbol contract maths</w:t>
            </w:r>
          </w:p>
          <w:p>
            <w:pPr>
              <w:spacing w:before="0" w:after="0" w:line="230" w:lineRule="auto"/>
            </w:pPr>
            <w:r>
              <w:rPr>
                <w:rFonts w:ascii="Consolas" w:hAnsi="Consolas"/>
                <w:color w:val="ECEFF1"/>
                <w:sz w:val="16"/>
              </w:rPr>
              <w:t xml:space="preserve">lots        = NormalizeLot(riskMoney / lossPerLot)</w:t>
            </w:r>
          </w:p>
          <w:p>
            <w:pPr>
              <w:spacing w:before="0" w:after="0" w:line="230" w:lineRule="auto"/>
            </w:pPr>
            <w:r>
              <w:rPr>
                <w:rFonts w:ascii="Consolas" w:hAnsi="Consolas"/>
                <w:color w:val="ECEFF1"/>
                <w:sz w:val="16"/>
              </w:rPr>
              <w:t xml:space="preserve">IF lots &lt;= 0 or any input invalid: RETURN 0      // no trade, never guess</w:t>
            </w:r>
          </w:p>
        </w:tc>
      </w:tr>
    </w:tbl>
    <w:p>
      <w:pPr>
        <w:pStyle w:val="Heading1"/>
      </w:pPr>
      <w:r>
        <w:t>14. TRADE EXECUTOR</w:t>
      </w:r>
      <w:bookmarkStart w:name="_T16" w:id="16"/>
      <w:bookmarkEnd w:id="16"/>
    </w:p>
    <w:p>
      <w:pPr>
        <w:spacing w:after="240"/>
      </w:pPr>
      <w:r>
        <w:rPr>
          <w:i/>
          <w:color w:val="546E7A"/>
        </w:rPr>
        <w:t>The hands. One position, staged profit-taking, mechanical break-even and trailing, validated time-stop, restart-resilient.</w:t>
      </w:r>
    </w:p>
    <w:p>
      <w:pPr>
        <w:pStyle w:val="Heading2"/>
      </w:pPr>
      <w:r>
        <w:t>14.1 Order Lifecycle</w:t>
      </w:r>
    </w:p>
    <w:tbl>
      <w:tblPr>
        <w:tblW w:w="5000" w:type="pct"/>
        <w:tblBorders>
          <w:top w:val="single" w:color="B8860B" w:sz="6"/>
          <w:left w:val="single" w:color="B8860B" w:sz="6"/>
          <w:bottom w:val="single" w:color="B8860B" w:sz="6"/>
          <w:right w:val="single" w:color="B8860B" w:sz="6"/>
        </w:tblBorders>
      </w:tblPr>
      <w:tblGrid>
        <w:gridCol w:w="9300"/>
      </w:tblGrid>
      <w:tr>
        <w:tc>
          <w:tcPr>
            <w:tcW w:w="9300" w:type="dxa"/>
            <w:shd w:val="clear" w:fill="1C262B"/>
            <w:tcMar>
              <w:top w:w="80" w:type="dxa"/>
              <w:left w:w="160" w:type="dxa"/>
              <w:bottom w:w="80" w:type="dxa"/>
            </w:tcMar>
          </w:tcPr>
          <w:p>
            <w:r>
              <w:rPr>
                <w:rFonts w:ascii="Consolas" w:hAnsi="Consolas"/>
                <w:b/>
                <w:color w:val="D4AF37"/>
                <w:sz w:val="17"/>
              </w:rPr>
              <w:t>EXECUTOR LIFECYCLE — pseudo-code</w:t>
            </w:r>
          </w:p>
        </w:tc>
      </w:tr>
      <w:tr>
        <w:tc>
          <w:tcPr>
            <w:tcW w:w="9300" w:type="dxa"/>
            <w:shd w:val="clear" w:fill="263238"/>
            <w:tcMar>
              <w:top w:w="100" w:type="dxa"/>
              <w:left w:w="160" w:type="dxa"/>
              <w:bottom w:w="100" w:type="dxa"/>
              <w:right w:w="100" w:type="dxa"/>
            </w:tcMar>
          </w:tcPr>
          <w:p>
            <w:pPr>
              <w:spacing w:before="0" w:after="0" w:line="230" w:lineRule="auto"/>
            </w:pPr>
            <w:r>
              <w:rPr>
                <w:rFonts w:ascii="Consolas" w:hAnsi="Consolas"/>
                <w:color w:val="ECEFF1"/>
                <w:sz w:val="16"/>
              </w:rPr>
              <w:t xml:space="preserve">Execute(sig, lots):</w:t>
            </w:r>
          </w:p>
          <w:p>
            <w:pPr>
              <w:spacing w:before="0" w:after="0" w:line="230" w:lineRule="auto"/>
            </w:pPr>
            <w:r>
              <w:rPr>
                <w:rFonts w:ascii="Consolas" w:hAnsi="Consolas"/>
                <w:color w:val="ECEFF1"/>
                <w:sz w:val="16"/>
              </w:rPr>
              <w:t xml:space="preserve">    IF lots &lt;= 0 OR position open: RETURN false</w:t>
            </w:r>
          </w:p>
          <w:p>
            <w:pPr>
              <w:spacing w:before="0" w:after="0" w:line="230" w:lineRule="auto"/>
            </w:pPr>
            <w:r>
              <w:rPr>
                <w:rFonts w:ascii="Consolas" w:hAnsi="Consolas"/>
                <w:color w:val="ECEFF1"/>
                <w:sz w:val="16"/>
              </w:rPr>
              <w:t xml:space="preserve">    order = market(dir, lots, SL = sig.sl, TP = sig.tp3)   // TP3 on order</w:t>
            </w:r>
          </w:p>
          <w:p>
            <w:pPr>
              <w:spacing w:before="0" w:after="0" w:line="230" w:lineRule="auto"/>
            </w:pPr>
            <w:r>
              <w:rPr>
                <w:rFonts w:ascii="Consolas" w:hAnsi="Consolas"/>
                <w:color w:val="ECEFF1"/>
                <w:sz w:val="16"/>
              </w:rPr>
              <w:t xml:space="preserve">    track: ticket, entry, origLots, tp1/tp2, flags, watermark, entryTime</w:t>
            </w:r>
          </w:p>
          <w:p>
            <w:pPr>
              <w:spacing w:before="0" w:after="0" w:line="230" w:lineRule="auto"/>
            </w:pPr>
            <w:r>
              <w:rPr>
                <w:rFonts w:ascii="Consolas" w:hAnsi="Consolas"/>
                <w:color w:val="ECEFF1"/>
                <w:sz w:val="16"/>
              </w:rPr>
              <w:t xml:space="preserve">    deviation = MaxSlippagePoints; magic = MagicNumber</w:t>
            </w:r>
          </w:p>
          <w:p>
            <w:pPr>
              <w:spacing w:before="0" w:after="0" w:line="230" w:lineRule="auto"/>
            </w:pPr>
            <w:r>
              <w:rPr>
                <w:rFonts w:ascii="Consolas" w:hAnsi="Consolas"/>
                <w:color w:val="ECEFF1"/>
                <w:sz w:val="16"/>
              </w:rPr>
              <w:t xml:space="preserve">Manage(atr) per tick:  // see 14.2</w:t>
            </w:r>
          </w:p>
          <w:p>
            <w:pPr>
              <w:spacing w:before="0" w:after="0" w:line="230" w:lineRule="auto"/>
            </w:pPr>
            <w:r>
              <w:rPr>
                <w:rFonts w:ascii="Consolas" w:hAnsi="Consolas"/>
                <w:color w:val="ECEFF1"/>
                <w:sz w:val="16"/>
              </w:rPr>
              <w:t xml:space="preserve">CloseAll(reason): iterate our positions backwards -&gt; close</w:t>
            </w:r>
          </w:p>
          <w:p>
            <w:pPr>
              <w:spacing w:before="0" w:after="0" w:line="230" w:lineRule="auto"/>
            </w:pPr>
            <w:r>
              <w:rPr>
                <w:rFonts w:ascii="Consolas" w:hAnsi="Consolas"/>
                <w:color w:val="ECEFF1"/>
                <w:sz w:val="16"/>
              </w:rPr>
              <w:t xml:space="preserve">Recovery on restart: re-attach to surviving position by magic+symbol;</w:t>
            </w:r>
          </w:p>
          <w:p>
            <w:pPr>
              <w:spacing w:before="0" w:after="0" w:line="230" w:lineRule="auto"/>
            </w:pPr>
            <w:r>
              <w:rPr>
                <w:rFonts w:ascii="Consolas" w:hAnsi="Consolas"/>
                <w:color w:val="ECEFF1"/>
                <w:sz w:val="16"/>
              </w:rPr>
              <w:t xml:space="preserve">    infer partial state from SL vs entry (documented best-effort)</w:t>
            </w:r>
          </w:p>
        </w:tc>
      </w:tr>
    </w:tbl>
    <w:p>
      <w:pPr>
        <w:pStyle w:val="Heading2"/>
      </w:pPr>
      <w:r>
        <w:t>14.2 Partial Exits, Break-Even, Trailing, Time-Stop</w:t>
      </w:r>
    </w:p>
    <w:tbl>
      <w:tblPr>
        <w:tblW w:w="5000" w:type="pct"/>
        <w:tblBorders>
          <w:top w:val="single" w:color="B8860B" w:sz="12"/>
          <w:bottom w:val="single" w:color="B8860B" w:sz="12"/>
          <w:insideH w:val="single" w:color="CFD8DC" w:sz="4"/>
          <w:insideV w:val="single" w:color="CFD8DC" w:sz="4"/>
        </w:tblBorders>
      </w:tblPr>
      <w:tblGrid>
        <w:gridCol w:w="2000"/>
        <w:gridCol w:w="7300"/>
      </w:tblGrid>
      <w:tr>
        <w:trPr>
          <w:tblHeader/>
        </w:trPr>
        <w:tc>
          <w:tcPr>
            <w:tcW w:w="2000" w:type="dxa"/>
            <w:shd w:val="clear" w:fill="ECEFF1"/>
            <w:tcMar>
              <w:top w:w="60" w:type="dxa"/>
              <w:left w:w="100" w:type="dxa"/>
              <w:bottom w:w="60" w:type="dxa"/>
              <w:right w:w="100" w:type="dxa"/>
            </w:tcMar>
          </w:tcPr>
          <w:p>
            <w:pPr>
              <w:spacing w:before="20" w:after="20" w:line="240" w:lineRule="auto"/>
              <w:jc w:val="left"/>
            </w:pPr>
            <w:r>
              <w:rPr>
                <w:b/>
                <w:color w:val="263238"/>
                <w:sz w:val="18"/>
              </w:rPr>
              <w:t>STAGE</w:t>
            </w:r>
          </w:p>
        </w:tc>
        <w:tc>
          <w:tcPr>
            <w:tcW w:w="7300" w:type="dxa"/>
            <w:shd w:val="clear" w:fill="ECEFF1"/>
            <w:tcMar>
              <w:top w:w="60" w:type="dxa"/>
              <w:left w:w="100" w:type="dxa"/>
              <w:bottom w:w="60" w:type="dxa"/>
              <w:right w:w="100" w:type="dxa"/>
            </w:tcMar>
          </w:tcPr>
          <w:p>
            <w:pPr>
              <w:spacing w:before="20" w:after="20" w:line="240" w:lineRule="auto"/>
              <w:jc w:val="left"/>
            </w:pPr>
            <w:r>
              <w:rPr>
                <w:b/>
                <w:color w:val="263238"/>
                <w:sz w:val="18"/>
              </w:rPr>
              <w:t>MECHANIC</w:t>
            </w:r>
          </w:p>
        </w:tc>
      </w:tr>
      <w:tr>
        <w:tc>
          <w:tcPr>
            <w:tcW w:w="2000" w:type="dxa"/>
            <w:tcMar>
              <w:top w:w="60" w:type="dxa"/>
              <w:left w:w="100" w:type="dxa"/>
              <w:bottom w:w="60" w:type="dxa"/>
              <w:right w:w="100" w:type="dxa"/>
            </w:tcMar>
          </w:tcPr>
          <w:p>
            <w:pPr>
              <w:spacing w:before="20" w:after="20" w:line="240" w:lineRule="auto"/>
              <w:jc w:val="left"/>
            </w:pPr>
            <w:r>
              <w:rPr>
                <w:color w:val="37474F"/>
                <w:sz w:val="18"/>
              </w:rPr>
              <w:t>TP1 hit</w:t>
            </w:r>
          </w:p>
        </w:tc>
        <w:tc>
          <w:tcPr>
            <w:tcW w:w="7300" w:type="dxa"/>
            <w:tcMar>
              <w:top w:w="60" w:type="dxa"/>
              <w:left w:w="100" w:type="dxa"/>
              <w:bottom w:w="60" w:type="dxa"/>
              <w:right w:w="100" w:type="dxa"/>
            </w:tcMar>
          </w:tcPr>
          <w:p>
            <w:pPr>
              <w:spacing w:before="20" w:after="20" w:line="240" w:lineRule="auto"/>
              <w:jc w:val="left"/>
            </w:pPr>
            <w:r>
              <w:rPr>
                <w:color w:val="37474F"/>
                <w:sz w:val="18"/>
              </w:rPr>
              <w:t>Close 50% of original lots; move SL to entry +/- 0.2xATR buffer (trade is now free)</w:t>
            </w:r>
          </w:p>
        </w:tc>
      </w:tr>
      <w:tr>
        <w:tc>
          <w:tcPr>
            <w:tcW w:w="2000" w:type="dxa"/>
            <w:tcMar>
              <w:top w:w="60" w:type="dxa"/>
              <w:left w:w="100" w:type="dxa"/>
              <w:bottom w:w="60" w:type="dxa"/>
              <w:right w:w="100" w:type="dxa"/>
            </w:tcMar>
          </w:tcPr>
          <w:p>
            <w:pPr>
              <w:spacing w:before="20" w:after="20" w:line="240" w:lineRule="auto"/>
              <w:jc w:val="left"/>
            </w:pPr>
            <w:r>
              <w:rPr>
                <w:color w:val="37474F"/>
                <w:sz w:val="18"/>
              </w:rPr>
              <w:t>TP2 hit</w:t>
            </w:r>
          </w:p>
        </w:tc>
        <w:tc>
          <w:tcPr>
            <w:tcW w:w="7300" w:type="dxa"/>
            <w:tcMar>
              <w:top w:w="60" w:type="dxa"/>
              <w:left w:w="100" w:type="dxa"/>
              <w:bottom w:w="60" w:type="dxa"/>
              <w:right w:w="100" w:type="dxa"/>
            </w:tcMar>
          </w:tcPr>
          <w:p>
            <w:pPr>
              <w:spacing w:before="20" w:after="20" w:line="240" w:lineRule="auto"/>
              <w:jc w:val="left"/>
            </w:pPr>
            <w:r>
              <w:rPr>
                <w:color w:val="37474F"/>
                <w:sz w:val="18"/>
              </w:rPr>
              <w:t>Close a further 30% of original; begin ATR trail on the 20% runner</w:t>
            </w:r>
          </w:p>
        </w:tc>
      </w:tr>
      <w:tr>
        <w:tc>
          <w:tcPr>
            <w:tcW w:w="2000" w:type="dxa"/>
            <w:tcMar>
              <w:top w:w="60" w:type="dxa"/>
              <w:left w:w="100" w:type="dxa"/>
              <w:bottom w:w="60" w:type="dxa"/>
              <w:right w:w="100" w:type="dxa"/>
            </w:tcMar>
          </w:tcPr>
          <w:p>
            <w:pPr>
              <w:spacing w:before="20" w:after="20" w:line="240" w:lineRule="auto"/>
              <w:jc w:val="left"/>
            </w:pPr>
            <w:r>
              <w:rPr>
                <w:color w:val="37474F"/>
                <w:sz w:val="18"/>
              </w:rPr>
              <w:t>Trailing</w:t>
            </w:r>
          </w:p>
        </w:tc>
        <w:tc>
          <w:tcPr>
            <w:tcW w:w="7300" w:type="dxa"/>
            <w:tcMar>
              <w:top w:w="60" w:type="dxa"/>
              <w:left w:w="100" w:type="dxa"/>
              <w:bottom w:w="60" w:type="dxa"/>
              <w:right w:w="100" w:type="dxa"/>
            </w:tcMar>
          </w:tcPr>
          <w:p>
            <w:pPr>
              <w:spacing w:before="20" w:after="20" w:line="240" w:lineRule="auto"/>
              <w:jc w:val="left"/>
            </w:pPr>
            <w:r>
              <w:rPr>
                <w:color w:val="37474F"/>
                <w:sz w:val="18"/>
              </w:rPr>
              <w:t>SL follows watermark (highest bid / lowest ask since open) minus 1.2xATR; only tightens, never loosens</w:t>
            </w:r>
          </w:p>
        </w:tc>
      </w:tr>
      <w:tr>
        <w:tc>
          <w:tcPr>
            <w:tcW w:w="2000" w:type="dxa"/>
            <w:tcMar>
              <w:top w:w="60" w:type="dxa"/>
              <w:left w:w="100" w:type="dxa"/>
              <w:bottom w:w="60" w:type="dxa"/>
              <w:right w:w="100" w:type="dxa"/>
            </w:tcMar>
          </w:tcPr>
          <w:p>
            <w:pPr>
              <w:spacing w:before="20" w:after="20" w:line="240" w:lineRule="auto"/>
              <w:jc w:val="left"/>
            </w:pPr>
            <w:r>
              <w:rPr>
                <w:color w:val="37474F"/>
                <w:sz w:val="18"/>
              </w:rPr>
              <w:t>Time-stop (v2.0)</w:t>
            </w:r>
          </w:p>
        </w:tc>
        <w:tc>
          <w:tcPr>
            <w:tcW w:w="7300" w:type="dxa"/>
            <w:tcMar>
              <w:top w:w="60" w:type="dxa"/>
              <w:left w:w="100" w:type="dxa"/>
              <w:bottom w:w="60" w:type="dxa"/>
              <w:right w:w="100" w:type="dxa"/>
            </w:tcMar>
          </w:tcPr>
          <w:p>
            <w:pPr>
              <w:spacing w:before="20" w:after="20" w:line="240" w:lineRule="auto"/>
              <w:jc w:val="left"/>
            </w:pPr>
            <w:r>
              <w:rPr>
                <w:color w:val="37474F"/>
                <w:sz w:val="18"/>
              </w:rPr>
              <w:t>If neither TP nor SL resolved within TimeStopBars bars (default 12 = 1 hour of M5; 0 disables), close at market — scalps that do not move decay; validated as a drawdown reducer across 6 Monte-Carlo seeds</w:t>
            </w:r>
          </w:p>
        </w:tc>
      </w:tr>
      <w:tr>
        <w:tc>
          <w:tcPr>
            <w:tcW w:w="2000" w:type="dxa"/>
            <w:tcMar>
              <w:top w:w="60" w:type="dxa"/>
              <w:left w:w="100" w:type="dxa"/>
              <w:bottom w:w="60" w:type="dxa"/>
              <w:right w:w="100" w:type="dxa"/>
            </w:tcMar>
          </w:tcPr>
          <w:p>
            <w:pPr>
              <w:spacing w:before="20" w:after="20" w:line="240" w:lineRule="auto"/>
              <w:jc w:val="left"/>
            </w:pPr>
            <w:r>
              <w:rPr>
                <w:color w:val="37474F"/>
                <w:sz w:val="18"/>
              </w:rPr>
              <w:t>Partial maths</w:t>
            </w:r>
          </w:p>
        </w:tc>
        <w:tc>
          <w:tcPr>
            <w:tcW w:w="7300" w:type="dxa"/>
            <w:tcMar>
              <w:top w:w="60" w:type="dxa"/>
              <w:left w:w="100" w:type="dxa"/>
              <w:bottom w:w="60" w:type="dxa"/>
              <w:right w:w="100" w:type="dxa"/>
            </w:tcMar>
          </w:tcPr>
          <w:p>
            <w:pPr>
              <w:spacing w:before="20" w:after="20" w:line="240" w:lineRule="auto"/>
              <w:jc w:val="left"/>
            </w:pPr>
            <w:r>
              <w:rPr>
                <w:color w:val="37474F"/>
                <w:sz w:val="18"/>
              </w:rPr>
              <w:t>Volumes floored to lot step; skip if below broker minimum or would leave sub-minimum remainder; flags are one-shot</w:t>
            </w:r>
          </w:p>
        </w:tc>
      </w:tr>
    </w:tbl>
    <w:p>
      <w:pPr>
        <w:pStyle w:val="Heading1"/>
      </w:pPr>
      <w:r>
        <w:t>15. SIGNAL RELAY &amp; MULTI-ACCOUNT BROADCAST</w:t>
      </w:r>
      <w:bookmarkStart w:name="_T17" w:id="17"/>
      <w:bookmarkEnd w:id="17"/>
    </w:p>
    <w:p>
      <w:pPr>
        <w:spacing w:after="240"/>
      </w:pPr>
      <w:r>
        <w:rPr>
          <w:i/>
          <w:color w:val="546E7A"/>
        </w:rPr>
        <w:t>One brain, many accounts: every signal leaves the terminal as a complete, machine-readable trade contract.</w:t>
      </w:r>
    </w:p>
    <w:p>
      <w:pPr>
        <w:pStyle w:val="Heading2"/>
      </w:pPr>
      <w:r>
        <w:t>15.1 Channels</w:t>
      </w:r>
    </w:p>
    <w:tbl>
      <w:tblPr>
        <w:tblW w:w="5000" w:type="pct"/>
        <w:tblBorders>
          <w:top w:val="single" w:color="B8860B" w:sz="12"/>
          <w:bottom w:val="single" w:color="B8860B" w:sz="12"/>
          <w:insideH w:val="single" w:color="CFD8DC" w:sz="4"/>
          <w:insideV w:val="single" w:color="CFD8DC" w:sz="4"/>
        </w:tblBorders>
      </w:tblPr>
      <w:tblGrid>
        <w:gridCol w:w="2200"/>
        <w:gridCol w:w="7100"/>
      </w:tblGrid>
      <w:tr>
        <w:trPr>
          <w:tblHeader/>
        </w:trPr>
        <w:tc>
          <w:tcPr>
            <w:tcW w:w="2200" w:type="dxa"/>
            <w:shd w:val="clear" w:fill="ECEFF1"/>
            <w:tcMar>
              <w:top w:w="60" w:type="dxa"/>
              <w:left w:w="100" w:type="dxa"/>
              <w:bottom w:w="60" w:type="dxa"/>
              <w:right w:w="100" w:type="dxa"/>
            </w:tcMar>
          </w:tcPr>
          <w:p>
            <w:pPr>
              <w:spacing w:before="20" w:after="20" w:line="240" w:lineRule="auto"/>
              <w:jc w:val="left"/>
            </w:pPr>
            <w:r>
              <w:rPr>
                <w:b/>
                <w:color w:val="263238"/>
                <w:sz w:val="18"/>
              </w:rPr>
              <w:t>CHANNEL</w:t>
            </w:r>
          </w:p>
        </w:tc>
        <w:tc>
          <w:tcPr>
            <w:tcW w:w="7100" w:type="dxa"/>
            <w:shd w:val="clear" w:fill="ECEFF1"/>
            <w:tcMar>
              <w:top w:w="60" w:type="dxa"/>
              <w:left w:w="100" w:type="dxa"/>
              <w:bottom w:w="60" w:type="dxa"/>
              <w:right w:w="100" w:type="dxa"/>
            </w:tcMar>
          </w:tcPr>
          <w:p>
            <w:pPr>
              <w:spacing w:before="20" w:after="20" w:line="240" w:lineRule="auto"/>
              <w:jc w:val="left"/>
            </w:pPr>
            <w:r>
              <w:rPr>
                <w:b/>
                <w:color w:val="263238"/>
                <w:sz w:val="18"/>
              </w:rPr>
              <w:t>DETAIL</w:t>
            </w:r>
          </w:p>
        </w:tc>
      </w:tr>
      <w:tr>
        <w:tc>
          <w:tcPr>
            <w:tcW w:w="2200" w:type="dxa"/>
            <w:tcMar>
              <w:top w:w="60" w:type="dxa"/>
              <w:left w:w="100" w:type="dxa"/>
              <w:bottom w:w="60" w:type="dxa"/>
              <w:right w:w="100" w:type="dxa"/>
            </w:tcMar>
          </w:tcPr>
          <w:p>
            <w:pPr>
              <w:spacing w:before="20" w:after="20" w:line="240" w:lineRule="auto"/>
              <w:jc w:val="left"/>
            </w:pPr>
            <w:r>
              <w:rPr>
                <w:color w:val="37474F"/>
                <w:sz w:val="18"/>
              </w:rPr>
              <w:t>JSON file</w:t>
            </w:r>
          </w:p>
        </w:tc>
        <w:tc>
          <w:tcPr>
            <w:tcW w:w="7100" w:type="dxa"/>
            <w:tcMar>
              <w:top w:w="60" w:type="dxa"/>
              <w:left w:w="100" w:type="dxa"/>
              <w:bottom w:w="60" w:type="dxa"/>
              <w:right w:w="100" w:type="dxa"/>
            </w:tcMar>
          </w:tcPr>
          <w:p>
            <w:pPr>
              <w:spacing w:before="20" w:after="20" w:line="240" w:lineRule="auto"/>
              <w:jc w:val="left"/>
            </w:pPr>
            <w:r>
              <w:rPr>
                <w:color w:val="37474F"/>
                <w:sz w:val="18"/>
              </w:rPr>
              <w:t>MQL5/Files/ApexSignals/signal_YYYYMMDD_HHMMSS_DIR.json — one file per signal; any copier/platform can read it</w:t>
            </w:r>
          </w:p>
        </w:tc>
      </w:tr>
      <w:tr>
        <w:tc>
          <w:tcPr>
            <w:tcW w:w="2200" w:type="dxa"/>
            <w:tcMar>
              <w:top w:w="60" w:type="dxa"/>
              <w:left w:w="100" w:type="dxa"/>
              <w:bottom w:w="60" w:type="dxa"/>
              <w:right w:w="100" w:type="dxa"/>
            </w:tcMar>
          </w:tcPr>
          <w:p>
            <w:pPr>
              <w:spacing w:before="20" w:after="20" w:line="240" w:lineRule="auto"/>
              <w:jc w:val="left"/>
            </w:pPr>
            <w:r>
              <w:rPr>
                <w:color w:val="37474F"/>
                <w:sz w:val="18"/>
              </w:rPr>
              <w:t>CSV log</w:t>
            </w:r>
          </w:p>
        </w:tc>
        <w:tc>
          <w:tcPr>
            <w:tcW w:w="7100" w:type="dxa"/>
            <w:tcMar>
              <w:top w:w="60" w:type="dxa"/>
              <w:left w:w="100" w:type="dxa"/>
              <w:bottom w:w="60" w:type="dxa"/>
              <w:right w:w="100" w:type="dxa"/>
            </w:tcMar>
          </w:tcPr>
          <w:p>
            <w:pPr>
              <w:spacing w:before="20" w:after="20" w:line="240" w:lineRule="auto"/>
              <w:jc w:val="left"/>
            </w:pPr>
            <w:r>
              <w:rPr>
                <w:color w:val="37474F"/>
                <w:sz w:val="18"/>
              </w:rPr>
              <w:t>signals.csv — append-only, header-once, every signal</w:t>
            </w:r>
          </w:p>
        </w:tc>
      </w:tr>
      <w:tr>
        <w:tc>
          <w:tcPr>
            <w:tcW w:w="2200" w:type="dxa"/>
            <w:tcMar>
              <w:top w:w="60" w:type="dxa"/>
              <w:left w:w="100" w:type="dxa"/>
              <w:bottom w:w="60" w:type="dxa"/>
              <w:right w:w="100" w:type="dxa"/>
            </w:tcMar>
          </w:tcPr>
          <w:p>
            <w:pPr>
              <w:spacing w:before="20" w:after="20" w:line="240" w:lineRule="auto"/>
              <w:jc w:val="left"/>
            </w:pPr>
            <w:r>
              <w:rPr>
                <w:color w:val="37474F"/>
                <w:sz w:val="18"/>
              </w:rPr>
              <w:t>Push notification</w:t>
            </w:r>
          </w:p>
        </w:tc>
        <w:tc>
          <w:tcPr>
            <w:tcW w:w="7100" w:type="dxa"/>
            <w:tcMar>
              <w:top w:w="60" w:type="dxa"/>
              <w:left w:w="100" w:type="dxa"/>
              <w:bottom w:w="60" w:type="dxa"/>
              <w:right w:w="100" w:type="dxa"/>
            </w:tcMar>
          </w:tcPr>
          <w:p>
            <w:pPr>
              <w:spacing w:before="20" w:after="20" w:line="240" w:lineRule="auto"/>
              <w:jc w:val="left"/>
            </w:pPr>
            <w:r>
              <w:rPr>
                <w:color w:val="37474F"/>
                <w:sz w:val="18"/>
              </w:rPr>
              <w:t>MetaQuotes push (free) to the trader's phone: direction, entry, SL, 3 TPs, score, regime/session</w:t>
            </w:r>
          </w:p>
        </w:tc>
      </w:tr>
    </w:tbl>
    <w:p>
      <w:pPr>
        <w:pStyle w:val="Heading2"/>
      </w:pPr>
      <w:r>
        <w:t>15.2 JSON Signal Schema</w:t>
      </w:r>
    </w:p>
    <w:tbl>
      <w:tblPr>
        <w:tblW w:w="5000" w:type="pct"/>
        <w:tblBorders>
          <w:top w:val="single" w:color="B8860B" w:sz="6"/>
          <w:left w:val="single" w:color="B8860B" w:sz="6"/>
          <w:bottom w:val="single" w:color="B8860B" w:sz="6"/>
          <w:right w:val="single" w:color="B8860B" w:sz="6"/>
        </w:tblBorders>
      </w:tblPr>
      <w:tblGrid>
        <w:gridCol w:w="9300"/>
      </w:tblGrid>
      <w:tr>
        <w:tc>
          <w:tcPr>
            <w:tcW w:w="9300" w:type="dxa"/>
            <w:shd w:val="clear" w:fill="1C262B"/>
            <w:tcMar>
              <w:top w:w="80" w:type="dxa"/>
              <w:left w:w="160" w:type="dxa"/>
              <w:bottom w:w="80" w:type="dxa"/>
            </w:tcMar>
          </w:tcPr>
          <w:p>
            <w:r>
              <w:rPr>
                <w:rFonts w:ascii="Consolas" w:hAnsi="Consolas"/>
                <w:b/>
                <w:color w:val="D4AF37"/>
                <w:sz w:val="17"/>
              </w:rPr>
              <w:t>SIGNAL CONTRACT — schema</w:t>
            </w:r>
          </w:p>
        </w:tc>
      </w:tr>
      <w:tr>
        <w:tc>
          <w:tcPr>
            <w:tcW w:w="9300" w:type="dxa"/>
            <w:shd w:val="clear" w:fill="263238"/>
            <w:tcMar>
              <w:top w:w="100" w:type="dxa"/>
              <w:left w:w="160" w:type="dxa"/>
              <w:bottom w:w="100" w:type="dxa"/>
              <w:right w:w="100" w:type="dxa"/>
            </w:tcMar>
          </w:tcPr>
          <w:p>
            <w:pPr>
              <w:spacing w:before="0" w:after="0" w:line="230" w:lineRule="auto"/>
            </w:pPr>
            <w:r>
              <w:rPr>
                <w:rFonts w:ascii="Consolas" w:hAnsi="Consolas"/>
                <w:color w:val="ECEFF1"/>
                <w:sz w:val="16"/>
              </w:rPr>
              <w:t xml:space="preserve">{ "ea":"ApexNAS100", "version":"1.0", "symbol":"NAS100",</w:t>
            </w:r>
          </w:p>
          <w:p>
            <w:pPr>
              <w:spacing w:before="0" w:after="0" w:line="230" w:lineRule="auto"/>
            </w:pPr>
            <w:r>
              <w:rPr>
                <w:rFonts w:ascii="Consolas" w:hAnsi="Consolas"/>
                <w:color w:val="ECEFF1"/>
                <w:sz w:val="16"/>
              </w:rPr>
              <w:t xml:space="preserve">  "time":"2026-08-01 12:00:00", "direction":"BUY",</w:t>
            </w:r>
          </w:p>
          <w:p>
            <w:pPr>
              <w:spacing w:before="0" w:after="0" w:line="230" w:lineRule="auto"/>
            </w:pPr>
            <w:r>
              <w:rPr>
                <w:rFonts w:ascii="Consolas" w:hAnsi="Consolas"/>
                <w:color w:val="ECEFF1"/>
                <w:sz w:val="16"/>
              </w:rPr>
              <w:t xml:space="preserve">  "entry":0.0, "stop_loss":0.0,</w:t>
            </w:r>
          </w:p>
          <w:p>
            <w:pPr>
              <w:spacing w:before="0" w:after="0" w:line="230" w:lineRule="auto"/>
            </w:pPr>
            <w:r>
              <w:rPr>
                <w:rFonts w:ascii="Consolas" w:hAnsi="Consolas"/>
                <w:color w:val="ECEFF1"/>
                <w:sz w:val="16"/>
              </w:rPr>
              <w:t xml:space="preserve">  "take_profit_1":0.0, "take_profit_2":0.0, "take_profit_3":0.0,</w:t>
            </w:r>
          </w:p>
          <w:p>
            <w:pPr>
              <w:spacing w:before="0" w:after="0" w:line="230" w:lineRule="auto"/>
            </w:pPr>
            <w:r>
              <w:rPr>
                <w:rFonts w:ascii="Consolas" w:hAnsi="Consolas"/>
                <w:color w:val="ECEFF1"/>
                <w:sz w:val="16"/>
              </w:rPr>
              <w:t xml:space="preserve">  "risk_reward":0.0, "score":0.0, "min_score":0.0,</w:t>
            </w:r>
          </w:p>
          <w:p>
            <w:pPr>
              <w:spacing w:before="0" w:after="0" w:line="230" w:lineRule="auto"/>
            </w:pPr>
            <w:r>
              <w:rPr>
                <w:rFonts w:ascii="Consolas" w:hAnsi="Consolas"/>
                <w:color w:val="ECEFF1"/>
                <w:sz w:val="16"/>
              </w:rPr>
              <w:t xml:space="preserve">  "regime":"TREND_UP", "session":"NEWYORK", "phase":"ACCUMULATION",</w:t>
            </w:r>
          </w:p>
          <w:p>
            <w:pPr>
              <w:spacing w:before="0" w:after="0" w:line="230" w:lineRule="auto"/>
            </w:pPr>
            <w:r>
              <w:rPr>
                <w:rFonts w:ascii="Consolas" w:hAnsi="Consolas"/>
                <w:color w:val="ECEFF1"/>
                <w:sz w:val="16"/>
              </w:rPr>
              <w:t xml:space="preserve">  "atr":0.0, "spread_points":0.0,</w:t>
            </w:r>
          </w:p>
          <w:p>
            <w:pPr>
              <w:spacing w:before="0" w:after="0" w:line="230" w:lineRule="auto"/>
            </w:pPr>
            <w:r>
              <w:rPr>
                <w:rFonts w:ascii="Consolas" w:hAnsi="Consolas"/>
                <w:color w:val="ECEFF1"/>
                <w:sz w:val="16"/>
              </w:rPr>
              <w:t xml:space="preserve">  "reasons":["..."], "expiry_seconds":900 }</w:t>
            </w:r>
          </w:p>
        </w:tc>
      </w:tr>
    </w:tbl>
    <w:p>
      <w:pPr>
        <w:pStyle w:val="Heading1"/>
      </w:pPr>
      <w:r>
        <w:t>16. COMPANION INDICATOR</w:t>
      </w:r>
      <w:bookmarkStart w:name="_T18" w:id="18"/>
      <w:bookmarkEnd w:id="18"/>
    </w:p>
    <w:p>
      <w:r>
        <w:t>The visual twin: same modules, same engine instance (signals-only), zero trade privileges. It draws the daily/weekly/monthly/quarterly VWAPs with daily sigma bands; the volume-profile histogram on the right margin with POC and value area highlighted; unmitigated order-block and FVG rectangles; equal-high/low lines; day/week/month high-low levels; signal arrows on fresh signals; and the same dashboard block as the EA (mode, regime, session, phase, score vs threshold, book tier + OFI, quarterly bias, last signal with reasons). All chart objects are namespaced and fully removed on detach. Purpose: a trader can audit every mechanical decision with their own eyes — trust through transparency.</w:t>
      </w:r>
    </w:p>
    <w:p>
      <w:pPr>
        <w:pStyle w:val="Heading1"/>
      </w:pPr>
      <w:r>
        <w:t>17. FILE-BY-FILE BUILD MANIFEST</w:t>
      </w:r>
      <w:bookmarkStart w:name="_T19" w:id="19"/>
      <w:bookmarkEnd w:id="19"/>
    </w:p>
    <w:p>
      <w:pPr>
        <w:pStyle w:val="Heading2"/>
      </w:pPr>
      <w:r>
        <w:t>17.1 Repository Layout</w:t>
      </w:r>
    </w:p>
    <w:tbl>
      <w:tblPr>
        <w:tblW w:w="5000" w:type="pct"/>
        <w:tblBorders>
          <w:top w:val="single" w:color="B8860B" w:sz="6"/>
          <w:left w:val="single" w:color="B8860B" w:sz="6"/>
          <w:bottom w:val="single" w:color="B8860B" w:sz="6"/>
          <w:right w:val="single" w:color="B8860B" w:sz="6"/>
        </w:tblBorders>
      </w:tblPr>
      <w:tblGrid>
        <w:gridCol w:w="9300"/>
      </w:tblGrid>
      <w:tr>
        <w:tc>
          <w:tcPr>
            <w:tcW w:w="9300" w:type="dxa"/>
            <w:shd w:val="clear" w:fill="1C262B"/>
            <w:tcMar>
              <w:top w:w="80" w:type="dxa"/>
              <w:left w:w="160" w:type="dxa"/>
              <w:bottom w:w="80" w:type="dxa"/>
            </w:tcMar>
          </w:tcPr>
          <w:p>
            <w:r>
              <w:rPr>
                <w:rFonts w:ascii="Consolas" w:hAnsi="Consolas"/>
                <w:b/>
                <w:color w:val="D4AF37"/>
                <w:sz w:val="17"/>
              </w:rPr>
              <w:t>REPOSITORY — frozen layout</w:t>
            </w:r>
          </w:p>
        </w:tc>
      </w:tr>
      <w:tr>
        <w:tc>
          <w:tcPr>
            <w:tcW w:w="9300" w:type="dxa"/>
            <w:shd w:val="clear" w:fill="263238"/>
            <w:tcMar>
              <w:top w:w="100" w:type="dxa"/>
              <w:left w:w="160" w:type="dxa"/>
              <w:bottom w:w="100" w:type="dxa"/>
              <w:right w:w="100" w:type="dxa"/>
            </w:tcMar>
          </w:tcPr>
          <w:p>
            <w:pPr>
              <w:spacing w:before="0" w:after="0" w:line="230" w:lineRule="auto"/>
            </w:pPr>
            <w:r>
              <w:rPr>
                <w:rFonts w:ascii="Consolas" w:hAnsi="Consolas"/>
                <w:color w:val="ECEFF1"/>
                <w:sz w:val="16"/>
              </w:rPr>
              <w:t xml:space="preserve">Include/Apex/  Apex_Config.mqh          // contract: enums, SSignal, SZone, CApexConfig</w:t>
            </w:r>
          </w:p>
          <w:p>
            <w:pPr>
              <w:spacing w:before="0" w:after="0" w:line="230" w:lineRule="auto"/>
            </w:pPr>
            <w:r>
              <w:rPr>
                <w:rFonts w:ascii="Consolas" w:hAnsi="Consolas"/>
                <w:color w:val="ECEFF1"/>
                <w:sz w:val="16"/>
              </w:rPr>
              <w:t xml:space="preserve">               Apex_DeltaFlow.mqh       // module 04</w:t>
            </w:r>
          </w:p>
          <w:p>
            <w:pPr>
              <w:spacing w:before="0" w:after="0" w:line="230" w:lineRule="auto"/>
            </w:pPr>
            <w:r>
              <w:rPr>
                <w:rFonts w:ascii="Consolas" w:hAnsi="Consolas"/>
                <w:color w:val="ECEFF1"/>
                <w:sz w:val="16"/>
              </w:rPr>
              <w:t xml:space="preserve">               Apex_MoneyFlow.mqh       // module 05</w:t>
            </w:r>
          </w:p>
          <w:p>
            <w:pPr>
              <w:spacing w:before="0" w:after="0" w:line="230" w:lineRule="auto"/>
            </w:pPr>
            <w:r>
              <w:rPr>
                <w:rFonts w:ascii="Consolas" w:hAnsi="Consolas"/>
                <w:color w:val="ECEFF1"/>
                <w:sz w:val="16"/>
              </w:rPr>
              <w:t xml:space="preserve">               Apex_VolumeProfile.mqh   // module 06</w:t>
            </w:r>
          </w:p>
          <w:p>
            <w:pPr>
              <w:spacing w:before="0" w:after="0" w:line="230" w:lineRule="auto"/>
            </w:pPr>
            <w:r>
              <w:rPr>
                <w:rFonts w:ascii="Consolas" w:hAnsi="Consolas"/>
                <w:color w:val="ECEFF1"/>
                <w:sz w:val="16"/>
              </w:rPr>
              <w:t xml:space="preserve">               Apex_VWAP.mqh            // module 07</w:t>
            </w:r>
          </w:p>
          <w:p>
            <w:pPr>
              <w:spacing w:before="0" w:after="0" w:line="230" w:lineRule="auto"/>
            </w:pPr>
            <w:r>
              <w:rPr>
                <w:rFonts w:ascii="Consolas" w:hAnsi="Consolas"/>
                <w:color w:val="ECEFF1"/>
                <w:sz w:val="16"/>
              </w:rPr>
              <w:t xml:space="preserve">               Apex_MarketStructure.mqh // module 08</w:t>
            </w:r>
          </w:p>
          <w:p>
            <w:pPr>
              <w:spacing w:before="0" w:after="0" w:line="230" w:lineRule="auto"/>
            </w:pPr>
            <w:r>
              <w:rPr>
                <w:rFonts w:ascii="Consolas" w:hAnsi="Consolas"/>
                <w:color w:val="ECEFF1"/>
                <w:sz w:val="16"/>
              </w:rPr>
              <w:t xml:space="preserve">               Apex_AMD.mqh             // module 09</w:t>
            </w:r>
          </w:p>
          <w:p>
            <w:pPr>
              <w:spacing w:before="0" w:after="0" w:line="230" w:lineRule="auto"/>
            </w:pPr>
            <w:r>
              <w:rPr>
                <w:rFonts w:ascii="Consolas" w:hAnsi="Consolas"/>
                <w:color w:val="ECEFF1"/>
                <w:sz w:val="16"/>
              </w:rPr>
              <w:t xml:space="preserve">               Apex_OrderBook.mqh       // module 10 (3-tier)</w:t>
            </w:r>
          </w:p>
          <w:p>
            <w:pPr>
              <w:spacing w:before="0" w:after="0" w:line="230" w:lineRule="auto"/>
            </w:pPr>
            <w:r>
              <w:rPr>
                <w:rFonts w:ascii="Consolas" w:hAnsi="Consolas"/>
                <w:color w:val="ECEFF1"/>
                <w:sz w:val="16"/>
              </w:rPr>
              <w:t xml:space="preserve">               Apex_Regime.mqh          // module 11</w:t>
            </w:r>
          </w:p>
          <w:p>
            <w:pPr>
              <w:spacing w:before="0" w:after="0" w:line="230" w:lineRule="auto"/>
            </w:pPr>
            <w:r>
              <w:rPr>
                <w:rFonts w:ascii="Consolas" w:hAnsi="Consolas"/>
                <w:color w:val="ECEFF1"/>
                <w:sz w:val="16"/>
              </w:rPr>
              <w:t xml:space="preserve">               Apex_SignalEngine.mqh    // module 12</w:t>
            </w:r>
          </w:p>
          <w:p>
            <w:pPr>
              <w:spacing w:before="0" w:after="0" w:line="230" w:lineRule="auto"/>
            </w:pPr>
            <w:r>
              <w:rPr>
                <w:rFonts w:ascii="Consolas" w:hAnsi="Consolas"/>
                <w:color w:val="ECEFF1"/>
                <w:sz w:val="16"/>
              </w:rPr>
              <w:t xml:space="preserve">               Apex_RiskManager.mqh     // module 13</w:t>
            </w:r>
          </w:p>
          <w:p>
            <w:pPr>
              <w:spacing w:before="0" w:after="0" w:line="230" w:lineRule="auto"/>
            </w:pPr>
            <w:r>
              <w:rPr>
                <w:rFonts w:ascii="Consolas" w:hAnsi="Consolas"/>
                <w:color w:val="ECEFF1"/>
                <w:sz w:val="16"/>
              </w:rPr>
              <w:t xml:space="preserve">               Apex_TradeExecutor.mqh   // module 14</w:t>
            </w:r>
          </w:p>
          <w:p>
            <w:pPr>
              <w:spacing w:before="0" w:after="0" w:line="230" w:lineRule="auto"/>
            </w:pPr>
            <w:r>
              <w:rPr>
                <w:rFonts w:ascii="Consolas" w:hAnsi="Consolas"/>
                <w:color w:val="ECEFF1"/>
                <w:sz w:val="16"/>
              </w:rPr>
              <w:t xml:space="preserve">               Apex_SignalRelay.mqh     // module 15</w:t>
            </w:r>
          </w:p>
          <w:p>
            <w:pPr>
              <w:spacing w:before="0" w:after="0" w:line="230" w:lineRule="auto"/>
            </w:pPr>
            <w:r>
              <w:rPr>
                <w:rFonts w:ascii="Consolas" w:hAnsi="Consolas"/>
                <w:color w:val="ECEFF1"/>
                <w:sz w:val="16"/>
              </w:rPr>
              <w:t xml:space="preserve">Experts/       Apex_NAS100_EA.mq5       // orchestrator (pipeline of section 02)</w:t>
            </w:r>
          </w:p>
          <w:p>
            <w:pPr>
              <w:spacing w:before="0" w:after="0" w:line="230" w:lineRule="auto"/>
            </w:pPr>
            <w:r>
              <w:rPr>
                <w:rFonts w:ascii="Consolas" w:hAnsi="Consolas"/>
                <w:color w:val="ECEFF1"/>
                <w:sz w:val="16"/>
              </w:rPr>
              <w:t xml:space="preserve">Indicators/    Apex_NAS100_Indicator.mq5// visual twin (section 16)</w:t>
            </w:r>
          </w:p>
          <w:p>
            <w:pPr>
              <w:spacing w:before="0" w:after="0" w:line="230" w:lineRule="auto"/>
            </w:pPr>
            <w:r>
              <w:rPr>
                <w:rFonts w:ascii="Consolas" w:hAnsi="Consolas"/>
                <w:color w:val="ECEFF1"/>
                <w:sz w:val="16"/>
              </w:rPr>
              <w:t xml:space="preserve">Presets/       Apex_PropFirm.set, Apex_Regular.set</w:t>
            </w:r>
          </w:p>
        </w:tc>
      </w:tr>
    </w:tbl>
    <w:p>
      <w:pPr>
        <w:pStyle w:val="Heading2"/>
      </w:pPr>
      <w:r>
        <w:t>17.2 Module Interface Summary</w:t>
      </w:r>
    </w:p>
    <w:tbl>
      <w:tblPr>
        <w:tblW w:w="5000" w:type="pct"/>
        <w:tblBorders>
          <w:top w:val="single" w:color="B8860B" w:sz="12"/>
          <w:bottom w:val="single" w:color="B8860B" w:sz="12"/>
          <w:insideH w:val="single" w:color="CFD8DC" w:sz="4"/>
          <w:insideV w:val="single" w:color="CFD8DC" w:sz="4"/>
        </w:tblBorders>
      </w:tblPr>
      <w:tblGrid>
        <w:gridCol w:w="2700"/>
        <w:gridCol w:w="4600"/>
        <w:gridCol w:w="2000"/>
      </w:tblGrid>
      <w:tr>
        <w:trPr>
          <w:tblHeader/>
        </w:trPr>
        <w:tc>
          <w:tcPr>
            <w:tcW w:w="2700" w:type="dxa"/>
            <w:shd w:val="clear" w:fill="ECEFF1"/>
            <w:tcMar>
              <w:top w:w="60" w:type="dxa"/>
              <w:left w:w="100" w:type="dxa"/>
              <w:bottom w:w="60" w:type="dxa"/>
              <w:right w:w="100" w:type="dxa"/>
            </w:tcMar>
          </w:tcPr>
          <w:p>
            <w:pPr>
              <w:spacing w:before="20" w:after="20" w:line="240" w:lineRule="auto"/>
              <w:jc w:val="left"/>
            </w:pPr>
            <w:r>
              <w:rPr>
                <w:b/>
                <w:color w:val="263238"/>
                <w:sz w:val="18"/>
              </w:rPr>
              <w:t>FILE</w:t>
            </w:r>
          </w:p>
        </w:tc>
        <w:tc>
          <w:tcPr>
            <w:tcW w:w="4600" w:type="dxa"/>
            <w:shd w:val="clear" w:fill="ECEFF1"/>
            <w:tcMar>
              <w:top w:w="60" w:type="dxa"/>
              <w:left w:w="100" w:type="dxa"/>
              <w:bottom w:w="60" w:type="dxa"/>
              <w:right w:w="100" w:type="dxa"/>
            </w:tcMar>
          </w:tcPr>
          <w:p>
            <w:pPr>
              <w:spacing w:before="20" w:after="20" w:line="240" w:lineRule="auto"/>
              <w:jc w:val="left"/>
            </w:pPr>
            <w:r>
              <w:rPr>
                <w:b/>
                <w:color w:val="263238"/>
                <w:sz w:val="18"/>
              </w:rPr>
              <w:t>PUBLIC CONTRACT (key methods)</w:t>
            </w:r>
          </w:p>
        </w:tc>
        <w:tc>
          <w:tcPr>
            <w:tcW w:w="2000" w:type="dxa"/>
            <w:shd w:val="clear" w:fill="ECEFF1"/>
            <w:tcMar>
              <w:top w:w="60" w:type="dxa"/>
              <w:left w:w="100" w:type="dxa"/>
              <w:bottom w:w="60" w:type="dxa"/>
              <w:right w:w="100" w:type="dxa"/>
            </w:tcMar>
          </w:tcPr>
          <w:p>
            <w:pPr>
              <w:spacing w:before="20" w:after="20" w:line="240" w:lineRule="auto"/>
              <w:jc w:val="left"/>
            </w:pPr>
            <w:r>
              <w:rPr>
                <w:b/>
                <w:color w:val="263238"/>
                <w:sz w:val="18"/>
              </w:rPr>
              <w:t>CONSUMES</w:t>
            </w:r>
          </w:p>
        </w:tc>
      </w:tr>
      <w:tr>
        <w:tc>
          <w:tcPr>
            <w:tcW w:w="2700" w:type="dxa"/>
            <w:tcMar>
              <w:top w:w="60" w:type="dxa"/>
              <w:left w:w="100" w:type="dxa"/>
              <w:bottom w:w="60" w:type="dxa"/>
              <w:right w:w="100" w:type="dxa"/>
            </w:tcMar>
          </w:tcPr>
          <w:p>
            <w:pPr>
              <w:spacing w:before="20" w:after="20" w:line="240" w:lineRule="auto"/>
              <w:jc w:val="left"/>
            </w:pPr>
            <w:r>
              <w:rPr>
                <w:color w:val="37474F"/>
                <w:sz w:val="18"/>
              </w:rPr>
              <w:t>Apex_Config.mqh</w:t>
            </w:r>
          </w:p>
        </w:tc>
        <w:tc>
          <w:tcPr>
            <w:tcW w:w="4600" w:type="dxa"/>
            <w:tcMar>
              <w:top w:w="60" w:type="dxa"/>
              <w:left w:w="100" w:type="dxa"/>
              <w:bottom w:w="60" w:type="dxa"/>
              <w:right w:w="100" w:type="dxa"/>
            </w:tcMar>
          </w:tcPr>
          <w:p>
            <w:pPr>
              <w:spacing w:before="20" w:after="20" w:line="240" w:lineRule="auto"/>
              <w:jc w:val="left"/>
            </w:pPr>
            <w:r>
              <w:rPr>
                <w:color w:val="37474F"/>
                <w:sz w:val="18"/>
              </w:rPr>
              <w:t>CApexConfig + enums + SSignal/SZone + helpers (NormalizeLot, ResolveSymbol, news/rollover windows)</w:t>
            </w:r>
          </w:p>
        </w:tc>
        <w:tc>
          <w:tcPr>
            <w:tcW w:w="2000" w:type="dxa"/>
            <w:tcMar>
              <w:top w:w="60" w:type="dxa"/>
              <w:left w:w="100" w:type="dxa"/>
              <w:bottom w:w="60" w:type="dxa"/>
              <w:right w:w="100" w:type="dxa"/>
            </w:tcMar>
          </w:tcPr>
          <w:p>
            <w:pPr>
              <w:spacing w:before="20" w:after="20" w:line="240" w:lineRule="auto"/>
              <w:jc w:val="left"/>
            </w:pPr>
            <w:r>
              <w:rPr>
                <w:color w:val="37474F"/>
                <w:sz w:val="18"/>
              </w:rPr>
              <w:t>nothing</w:t>
            </w:r>
          </w:p>
        </w:tc>
      </w:tr>
      <w:tr>
        <w:tc>
          <w:tcPr>
            <w:tcW w:w="2700" w:type="dxa"/>
            <w:tcMar>
              <w:top w:w="60" w:type="dxa"/>
              <w:left w:w="100" w:type="dxa"/>
              <w:bottom w:w="60" w:type="dxa"/>
              <w:right w:w="100" w:type="dxa"/>
            </w:tcMar>
          </w:tcPr>
          <w:p>
            <w:pPr>
              <w:spacing w:before="20" w:after="20" w:line="240" w:lineRule="auto"/>
              <w:jc w:val="left"/>
            </w:pPr>
            <w:r>
              <w:rPr>
                <w:color w:val="37474F"/>
                <w:sz w:val="18"/>
              </w:rPr>
              <w:t>Apex_DeltaFlow.mqh</w:t>
            </w:r>
          </w:p>
        </w:tc>
        <w:tc>
          <w:tcPr>
            <w:tcW w:w="4600" w:type="dxa"/>
            <w:tcMar>
              <w:top w:w="60" w:type="dxa"/>
              <w:left w:w="100" w:type="dxa"/>
              <w:bottom w:w="60" w:type="dxa"/>
              <w:right w:w="100" w:type="dxa"/>
            </w:tcMar>
          </w:tcPr>
          <w:p>
            <w:pPr>
              <w:spacing w:before="20" w:after="20" w:line="240" w:lineRule="auto"/>
              <w:jc w:val="left"/>
            </w:pPr>
            <w:r>
              <w:rPr>
                <w:color w:val="37474F"/>
                <w:sz w:val="18"/>
              </w:rPr>
              <w:t>Init/Update + Delta, Pressure, CumDelta, divergences, flips</w:t>
            </w:r>
          </w:p>
        </w:tc>
        <w:tc>
          <w:tcPr>
            <w:tcW w:w="2000" w:type="dxa"/>
            <w:tcMar>
              <w:top w:w="60" w:type="dxa"/>
              <w:left w:w="100" w:type="dxa"/>
              <w:bottom w:w="60" w:type="dxa"/>
              <w:right w:w="100" w:type="dxa"/>
            </w:tcMar>
          </w:tcPr>
          <w:p>
            <w:pPr>
              <w:spacing w:before="20" w:after="20" w:line="240" w:lineRule="auto"/>
              <w:jc w:val="left"/>
            </w:pPr>
            <w:r>
              <w:rPr>
                <w:color w:val="37474F"/>
                <w:sz w:val="18"/>
              </w:rPr>
              <w:t>bars, ticks</w:t>
            </w:r>
          </w:p>
        </w:tc>
      </w:tr>
      <w:tr>
        <w:tc>
          <w:tcPr>
            <w:tcW w:w="2700" w:type="dxa"/>
            <w:tcMar>
              <w:top w:w="60" w:type="dxa"/>
              <w:left w:w="100" w:type="dxa"/>
              <w:bottom w:w="60" w:type="dxa"/>
              <w:right w:w="100" w:type="dxa"/>
            </w:tcMar>
          </w:tcPr>
          <w:p>
            <w:pPr>
              <w:spacing w:before="20" w:after="20" w:line="240" w:lineRule="auto"/>
              <w:jc w:val="left"/>
            </w:pPr>
            <w:r>
              <w:rPr>
                <w:color w:val="37474F"/>
                <w:sz w:val="18"/>
              </w:rPr>
              <w:t>Apex_MoneyFlow.mqh</w:t>
            </w:r>
          </w:p>
        </w:tc>
        <w:tc>
          <w:tcPr>
            <w:tcW w:w="4600" w:type="dxa"/>
            <w:tcMar>
              <w:top w:w="60" w:type="dxa"/>
              <w:left w:w="100" w:type="dxa"/>
              <w:bottom w:w="60" w:type="dxa"/>
              <w:right w:w="100" w:type="dxa"/>
            </w:tcMar>
          </w:tcPr>
          <w:p>
            <w:pPr>
              <w:spacing w:before="20" w:after="20" w:line="240" w:lineRule="auto"/>
              <w:jc w:val="left"/>
            </w:pPr>
            <w:r>
              <w:rPr>
                <w:color w:val="37474F"/>
                <w:sz w:val="18"/>
              </w:rPr>
              <w:t>Init/Update + MFI, MoneyRatio, Pressure, HTN, NodeStrength</w:t>
            </w:r>
          </w:p>
        </w:tc>
        <w:tc>
          <w:tcPr>
            <w:tcW w:w="2000" w:type="dxa"/>
            <w:tcMar>
              <w:top w:w="60" w:type="dxa"/>
              <w:left w:w="100" w:type="dxa"/>
              <w:bottom w:w="60" w:type="dxa"/>
              <w:right w:w="100" w:type="dxa"/>
            </w:tcMar>
          </w:tcPr>
          <w:p>
            <w:pPr>
              <w:spacing w:before="20" w:after="20" w:line="240" w:lineRule="auto"/>
              <w:jc w:val="left"/>
            </w:pPr>
            <w:r>
              <w:rPr>
                <w:color w:val="37474F"/>
                <w:sz w:val="18"/>
              </w:rPr>
              <w:t>bars</w:t>
            </w:r>
          </w:p>
        </w:tc>
      </w:tr>
      <w:tr>
        <w:tc>
          <w:tcPr>
            <w:tcW w:w="2700" w:type="dxa"/>
            <w:tcMar>
              <w:top w:w="60" w:type="dxa"/>
              <w:left w:w="100" w:type="dxa"/>
              <w:bottom w:w="60" w:type="dxa"/>
              <w:right w:w="100" w:type="dxa"/>
            </w:tcMar>
          </w:tcPr>
          <w:p>
            <w:pPr>
              <w:spacing w:before="20" w:after="20" w:line="240" w:lineRule="auto"/>
              <w:jc w:val="left"/>
            </w:pPr>
            <w:r>
              <w:rPr>
                <w:color w:val="37474F"/>
                <w:sz w:val="18"/>
              </w:rPr>
              <w:t>Apex_VolumeProfile.mqh</w:t>
            </w:r>
          </w:p>
        </w:tc>
        <w:tc>
          <w:tcPr>
            <w:tcW w:w="4600" w:type="dxa"/>
            <w:tcMar>
              <w:top w:w="60" w:type="dxa"/>
              <w:left w:w="100" w:type="dxa"/>
              <w:bottom w:w="60" w:type="dxa"/>
              <w:right w:w="100" w:type="dxa"/>
            </w:tcMar>
          </w:tcPr>
          <w:p>
            <w:pPr>
              <w:spacing w:before="20" w:after="20" w:line="240" w:lineRule="auto"/>
              <w:jc w:val="left"/>
            </w:pPr>
            <w:r>
              <w:rPr>
                <w:color w:val="37474F"/>
                <w:sz w:val="18"/>
              </w:rPr>
              <w:t>Init/Update + POC/VAH/VAL, IsHVN/LVN, NearestHVN/LVN, Node*</w:t>
            </w:r>
          </w:p>
        </w:tc>
        <w:tc>
          <w:tcPr>
            <w:tcW w:w="2000" w:type="dxa"/>
            <w:tcMar>
              <w:top w:w="60" w:type="dxa"/>
              <w:left w:w="100" w:type="dxa"/>
              <w:bottom w:w="60" w:type="dxa"/>
              <w:right w:w="100" w:type="dxa"/>
            </w:tcMar>
          </w:tcPr>
          <w:p>
            <w:pPr>
              <w:spacing w:before="20" w:after="20" w:line="240" w:lineRule="auto"/>
              <w:jc w:val="left"/>
            </w:pPr>
            <w:r>
              <w:rPr>
                <w:color w:val="37474F"/>
                <w:sz w:val="18"/>
              </w:rPr>
              <w:t>bars</w:t>
            </w:r>
          </w:p>
        </w:tc>
      </w:tr>
      <w:tr>
        <w:tc>
          <w:tcPr>
            <w:tcW w:w="2700" w:type="dxa"/>
            <w:tcMar>
              <w:top w:w="60" w:type="dxa"/>
              <w:left w:w="100" w:type="dxa"/>
              <w:bottom w:w="60" w:type="dxa"/>
              <w:right w:w="100" w:type="dxa"/>
            </w:tcMar>
          </w:tcPr>
          <w:p>
            <w:pPr>
              <w:spacing w:before="20" w:after="20" w:line="240" w:lineRule="auto"/>
              <w:jc w:val="left"/>
            </w:pPr>
            <w:r>
              <w:rPr>
                <w:color w:val="37474F"/>
                <w:sz w:val="18"/>
              </w:rPr>
              <w:t>Apex_VWAP.mqh</w:t>
            </w:r>
          </w:p>
        </w:tc>
        <w:tc>
          <w:tcPr>
            <w:tcW w:w="4600" w:type="dxa"/>
            <w:tcMar>
              <w:top w:w="60" w:type="dxa"/>
              <w:left w:w="100" w:type="dxa"/>
              <w:bottom w:w="60" w:type="dxa"/>
              <w:right w:w="100" w:type="dxa"/>
            </w:tcMar>
          </w:tcPr>
          <w:p>
            <w:pPr>
              <w:spacing w:before="20" w:after="20" w:line="240" w:lineRule="auto"/>
              <w:jc w:val="left"/>
            </w:pPr>
            <w:r>
              <w:rPr>
                <w:color w:val="37474F"/>
                <w:sz w:val="18"/>
              </w:rPr>
              <w:t>Init/Update + Value, Band, PriceSide, QuarterlyBias</w:t>
            </w:r>
          </w:p>
        </w:tc>
        <w:tc>
          <w:tcPr>
            <w:tcW w:w="2000" w:type="dxa"/>
            <w:tcMar>
              <w:top w:w="60" w:type="dxa"/>
              <w:left w:w="100" w:type="dxa"/>
              <w:bottom w:w="60" w:type="dxa"/>
              <w:right w:w="100" w:type="dxa"/>
            </w:tcMar>
          </w:tcPr>
          <w:p>
            <w:pPr>
              <w:spacing w:before="20" w:after="20" w:line="240" w:lineRule="auto"/>
              <w:jc w:val="left"/>
            </w:pPr>
            <w:r>
              <w:rPr>
                <w:color w:val="37474F"/>
                <w:sz w:val="18"/>
              </w:rPr>
              <w:t>bars</w:t>
            </w:r>
          </w:p>
        </w:tc>
      </w:tr>
      <w:tr>
        <w:tc>
          <w:tcPr>
            <w:tcW w:w="2700" w:type="dxa"/>
            <w:tcMar>
              <w:top w:w="60" w:type="dxa"/>
              <w:left w:w="100" w:type="dxa"/>
              <w:bottom w:w="60" w:type="dxa"/>
              <w:right w:w="100" w:type="dxa"/>
            </w:tcMar>
          </w:tcPr>
          <w:p>
            <w:pPr>
              <w:spacing w:before="20" w:after="20" w:line="240" w:lineRule="auto"/>
              <w:jc w:val="left"/>
            </w:pPr>
            <w:r>
              <w:rPr>
                <w:color w:val="37474F"/>
                <w:sz w:val="18"/>
              </w:rPr>
              <w:t>Apex_MarketStructure.mqh</w:t>
            </w:r>
          </w:p>
        </w:tc>
        <w:tc>
          <w:tcPr>
            <w:tcW w:w="4600" w:type="dxa"/>
            <w:tcMar>
              <w:top w:w="60" w:type="dxa"/>
              <w:left w:w="100" w:type="dxa"/>
              <w:bottom w:w="60" w:type="dxa"/>
              <w:right w:w="100" w:type="dxa"/>
            </w:tcMar>
          </w:tcPr>
          <w:p>
            <w:pPr>
              <w:spacing w:before="20" w:after="20" w:line="240" w:lineRule="auto"/>
              <w:jc w:val="left"/>
            </w:pPr>
            <w:r>
              <w:rPr>
                <w:color w:val="37474F"/>
                <w:sz w:val="18"/>
              </w:rPr>
              <w:t>Init/Update + trends, BOS/CHoCH, swings, EQH/EQL, FVG/OB, DWM levels, premium/discount, sweeps</w:t>
            </w:r>
          </w:p>
        </w:tc>
        <w:tc>
          <w:tcPr>
            <w:tcW w:w="2000" w:type="dxa"/>
            <w:tcMar>
              <w:top w:w="60" w:type="dxa"/>
              <w:left w:w="100" w:type="dxa"/>
              <w:bottom w:w="60" w:type="dxa"/>
              <w:right w:w="100" w:type="dxa"/>
            </w:tcMar>
          </w:tcPr>
          <w:p>
            <w:pPr>
              <w:spacing w:before="20" w:after="20" w:line="240" w:lineRule="auto"/>
              <w:jc w:val="left"/>
            </w:pPr>
            <w:r>
              <w:rPr>
                <w:color w:val="37474F"/>
                <w:sz w:val="18"/>
              </w:rPr>
              <w:t>bars</w:t>
            </w:r>
          </w:p>
        </w:tc>
      </w:tr>
      <w:tr>
        <w:tc>
          <w:tcPr>
            <w:tcW w:w="2700" w:type="dxa"/>
            <w:tcMar>
              <w:top w:w="60" w:type="dxa"/>
              <w:left w:w="100" w:type="dxa"/>
              <w:bottom w:w="60" w:type="dxa"/>
              <w:right w:w="100" w:type="dxa"/>
            </w:tcMar>
          </w:tcPr>
          <w:p>
            <w:pPr>
              <w:spacing w:before="20" w:after="20" w:line="240" w:lineRule="auto"/>
              <w:jc w:val="left"/>
            </w:pPr>
            <w:r>
              <w:rPr>
                <w:color w:val="37474F"/>
                <w:sz w:val="18"/>
              </w:rPr>
              <w:t>Apex_AMD.mqh</w:t>
            </w:r>
          </w:p>
        </w:tc>
        <w:tc>
          <w:tcPr>
            <w:tcW w:w="4600" w:type="dxa"/>
            <w:tcMar>
              <w:top w:w="60" w:type="dxa"/>
              <w:left w:w="100" w:type="dxa"/>
              <w:bottom w:w="60" w:type="dxa"/>
              <w:right w:w="100" w:type="dxa"/>
            </w:tcMar>
          </w:tcPr>
          <w:p>
            <w:pPr>
              <w:spacing w:before="20" w:after="20" w:line="240" w:lineRule="auto"/>
              <w:jc w:val="left"/>
            </w:pPr>
            <w:r>
              <w:rPr>
                <w:color w:val="37474F"/>
                <w:sz w:val="18"/>
              </w:rPr>
              <w:t>Init(cfg, DeltaFlow*, MarketStructure*)/Update + Phase, Confidence</w:t>
            </w:r>
          </w:p>
        </w:tc>
        <w:tc>
          <w:tcPr>
            <w:tcW w:w="2000" w:type="dxa"/>
            <w:tcMar>
              <w:top w:w="60" w:type="dxa"/>
              <w:left w:w="100" w:type="dxa"/>
              <w:bottom w:w="60" w:type="dxa"/>
              <w:right w:w="100" w:type="dxa"/>
            </w:tcMar>
          </w:tcPr>
          <w:p>
            <w:pPr>
              <w:spacing w:before="20" w:after="20" w:line="240" w:lineRule="auto"/>
              <w:jc w:val="left"/>
            </w:pPr>
            <w:r>
              <w:rPr>
                <w:color w:val="37474F"/>
                <w:sz w:val="18"/>
              </w:rPr>
              <w:t>modules 04, 08</w:t>
            </w:r>
          </w:p>
        </w:tc>
      </w:tr>
      <w:tr>
        <w:tc>
          <w:tcPr>
            <w:tcW w:w="2700" w:type="dxa"/>
            <w:tcMar>
              <w:top w:w="60" w:type="dxa"/>
              <w:left w:w="100" w:type="dxa"/>
              <w:bottom w:w="60" w:type="dxa"/>
              <w:right w:w="100" w:type="dxa"/>
            </w:tcMar>
          </w:tcPr>
          <w:p>
            <w:pPr>
              <w:spacing w:before="20" w:after="20" w:line="240" w:lineRule="auto"/>
              <w:jc w:val="left"/>
            </w:pPr>
            <w:r>
              <w:rPr>
                <w:color w:val="37474F"/>
                <w:sz w:val="18"/>
              </w:rPr>
              <w:t>Apex_OrderBook.mqh</w:t>
            </w:r>
          </w:p>
        </w:tc>
        <w:tc>
          <w:tcPr>
            <w:tcW w:w="4600" w:type="dxa"/>
            <w:tcMar>
              <w:top w:w="60" w:type="dxa"/>
              <w:left w:w="100" w:type="dxa"/>
              <w:bottom w:w="60" w:type="dxa"/>
              <w:right w:w="100" w:type="dxa"/>
            </w:tcMar>
          </w:tcPr>
          <w:p>
            <w:pPr>
              <w:spacing w:before="20" w:after="20" w:line="240" w:lineRule="auto"/>
              <w:jc w:val="left"/>
            </w:pPr>
            <w:r>
              <w:rPr>
                <w:color w:val="37474F"/>
                <w:sz w:val="18"/>
              </w:rPr>
              <w:t>Init(sym,cfg)/Update/OnBookEvent + DataTier, Imbalance, OFI, NearestWall, SpreadPoints, TickSpeed</w:t>
            </w:r>
          </w:p>
        </w:tc>
        <w:tc>
          <w:tcPr>
            <w:tcW w:w="2000" w:type="dxa"/>
            <w:tcMar>
              <w:top w:w="60" w:type="dxa"/>
              <w:left w:w="100" w:type="dxa"/>
              <w:bottom w:w="60" w:type="dxa"/>
              <w:right w:w="100" w:type="dxa"/>
            </w:tcMar>
          </w:tcPr>
          <w:p>
            <w:pPr>
              <w:spacing w:before="20" w:after="20" w:line="240" w:lineRule="auto"/>
              <w:jc w:val="left"/>
            </w:pPr>
            <w:r>
              <w:rPr>
                <w:color w:val="37474F"/>
                <w:sz w:val="18"/>
              </w:rPr>
              <w:t>DOM, ticks</w:t>
            </w:r>
          </w:p>
        </w:tc>
      </w:tr>
      <w:tr>
        <w:tc>
          <w:tcPr>
            <w:tcW w:w="2700" w:type="dxa"/>
            <w:tcMar>
              <w:top w:w="60" w:type="dxa"/>
              <w:left w:w="100" w:type="dxa"/>
              <w:bottom w:w="60" w:type="dxa"/>
              <w:right w:w="100" w:type="dxa"/>
            </w:tcMar>
          </w:tcPr>
          <w:p>
            <w:pPr>
              <w:spacing w:before="20" w:after="20" w:line="240" w:lineRule="auto"/>
              <w:jc w:val="left"/>
            </w:pPr>
            <w:r>
              <w:rPr>
                <w:color w:val="37474F"/>
                <w:sz w:val="18"/>
              </w:rPr>
              <w:t>Apex_Regime.mqh</w:t>
            </w:r>
          </w:p>
        </w:tc>
        <w:tc>
          <w:tcPr>
            <w:tcW w:w="4600" w:type="dxa"/>
            <w:tcMar>
              <w:top w:w="60" w:type="dxa"/>
              <w:left w:w="100" w:type="dxa"/>
              <w:bottom w:w="60" w:type="dxa"/>
              <w:right w:w="100" w:type="dxa"/>
            </w:tcMar>
          </w:tcPr>
          <w:p>
            <w:pPr>
              <w:spacing w:before="20" w:after="20" w:line="240" w:lineRule="auto"/>
              <w:jc w:val="left"/>
            </w:pPr>
            <w:r>
              <w:rPr>
                <w:color w:val="37474F"/>
                <w:sz w:val="18"/>
              </w:rPr>
              <w:t>Init/Update + Regime, Session, ATR, ER, Momentum, VolFactor, TradingAllowedNow</w:t>
            </w:r>
          </w:p>
        </w:tc>
        <w:tc>
          <w:tcPr>
            <w:tcW w:w="2000" w:type="dxa"/>
            <w:tcMar>
              <w:top w:w="60" w:type="dxa"/>
              <w:left w:w="100" w:type="dxa"/>
              <w:bottom w:w="60" w:type="dxa"/>
              <w:right w:w="100" w:type="dxa"/>
            </w:tcMar>
          </w:tcPr>
          <w:p>
            <w:pPr>
              <w:spacing w:before="20" w:after="20" w:line="240" w:lineRule="auto"/>
              <w:jc w:val="left"/>
            </w:pPr>
            <w:r>
              <w:rPr>
                <w:color w:val="37474F"/>
                <w:sz w:val="18"/>
              </w:rPr>
              <w:t>bars, time</w:t>
            </w:r>
          </w:p>
        </w:tc>
      </w:tr>
      <w:tr>
        <w:tc>
          <w:tcPr>
            <w:tcW w:w="2700" w:type="dxa"/>
            <w:tcMar>
              <w:top w:w="60" w:type="dxa"/>
              <w:left w:w="100" w:type="dxa"/>
              <w:bottom w:w="60" w:type="dxa"/>
              <w:right w:w="100" w:type="dxa"/>
            </w:tcMar>
          </w:tcPr>
          <w:p>
            <w:pPr>
              <w:spacing w:before="20" w:after="20" w:line="240" w:lineRule="auto"/>
              <w:jc w:val="left"/>
            </w:pPr>
            <w:r>
              <w:rPr>
                <w:color w:val="37474F"/>
                <w:sz w:val="18"/>
              </w:rPr>
              <w:t>Apex_SignalEngine.mqh</w:t>
            </w:r>
          </w:p>
        </w:tc>
        <w:tc>
          <w:tcPr>
            <w:tcW w:w="4600" w:type="dxa"/>
            <w:tcMar>
              <w:top w:w="60" w:type="dxa"/>
              <w:left w:w="100" w:type="dxa"/>
              <w:bottom w:w="60" w:type="dxa"/>
              <w:right w:w="100" w:type="dxa"/>
            </w:tcMar>
          </w:tcPr>
          <w:p>
            <w:pPr>
              <w:spacing w:before="20" w:after="20" w:line="240" w:lineRule="auto"/>
              <w:jc w:val="left"/>
            </w:pPr>
            <w:r>
              <w:rPr>
                <w:color w:val="37474F"/>
                <w:sz w:val="18"/>
              </w:rPr>
              <w:t>Init/Bind(all modules)/Evaluate -&gt; SSignal + LastScore, CurrentMinScore</w:t>
            </w:r>
          </w:p>
        </w:tc>
        <w:tc>
          <w:tcPr>
            <w:tcW w:w="2000" w:type="dxa"/>
            <w:tcMar>
              <w:top w:w="60" w:type="dxa"/>
              <w:left w:w="100" w:type="dxa"/>
              <w:bottom w:w="60" w:type="dxa"/>
              <w:right w:w="100" w:type="dxa"/>
            </w:tcMar>
          </w:tcPr>
          <w:p>
            <w:pPr>
              <w:spacing w:before="20" w:after="20" w:line="240" w:lineRule="auto"/>
              <w:jc w:val="left"/>
            </w:pPr>
            <w:r>
              <w:rPr>
                <w:color w:val="37474F"/>
                <w:sz w:val="18"/>
              </w:rPr>
              <w:t>all L1-L2</w:t>
            </w:r>
          </w:p>
        </w:tc>
      </w:tr>
      <w:tr>
        <w:tc>
          <w:tcPr>
            <w:tcW w:w="2700" w:type="dxa"/>
            <w:tcMar>
              <w:top w:w="60" w:type="dxa"/>
              <w:left w:w="100" w:type="dxa"/>
              <w:bottom w:w="60" w:type="dxa"/>
              <w:right w:w="100" w:type="dxa"/>
            </w:tcMar>
          </w:tcPr>
          <w:p>
            <w:pPr>
              <w:spacing w:before="20" w:after="20" w:line="240" w:lineRule="auto"/>
              <w:jc w:val="left"/>
            </w:pPr>
            <w:r>
              <w:rPr>
                <w:color w:val="37474F"/>
                <w:sz w:val="18"/>
              </w:rPr>
              <w:t>Apex_RiskManager.mqh</w:t>
            </w:r>
          </w:p>
        </w:tc>
        <w:tc>
          <w:tcPr>
            <w:tcW w:w="4600" w:type="dxa"/>
            <w:tcMar>
              <w:top w:w="60" w:type="dxa"/>
              <w:left w:w="100" w:type="dxa"/>
              <w:bottom w:w="60" w:type="dxa"/>
              <w:right w:w="100" w:type="dxa"/>
            </w:tcMar>
          </w:tcPr>
          <w:p>
            <w:pPr>
              <w:spacing w:before="20" w:after="20" w:line="240" w:lineRule="auto"/>
              <w:jc w:val="left"/>
            </w:pPr>
            <w:r>
              <w:rPr>
                <w:color w:val="37474F"/>
                <w:sz w:val="18"/>
              </w:rPr>
              <w:t>Init/Update/CanOpen/CalcLot/Notify*/Persist/Restore + DailyDD, OverallDD, Halted</w:t>
            </w:r>
          </w:p>
        </w:tc>
        <w:tc>
          <w:tcPr>
            <w:tcW w:w="2000" w:type="dxa"/>
            <w:tcMar>
              <w:top w:w="60" w:type="dxa"/>
              <w:left w:w="100" w:type="dxa"/>
              <w:bottom w:w="60" w:type="dxa"/>
              <w:right w:w="100" w:type="dxa"/>
            </w:tcMar>
          </w:tcPr>
          <w:p>
            <w:pPr>
              <w:spacing w:before="20" w:after="20" w:line="240" w:lineRule="auto"/>
              <w:jc w:val="left"/>
            </w:pPr>
            <w:r>
              <w:rPr>
                <w:color w:val="37474F"/>
                <w:sz w:val="18"/>
              </w:rPr>
              <w:t>account</w:t>
            </w:r>
          </w:p>
        </w:tc>
      </w:tr>
      <w:tr>
        <w:tc>
          <w:tcPr>
            <w:tcW w:w="2700" w:type="dxa"/>
            <w:tcMar>
              <w:top w:w="60" w:type="dxa"/>
              <w:left w:w="100" w:type="dxa"/>
              <w:bottom w:w="60" w:type="dxa"/>
              <w:right w:w="100" w:type="dxa"/>
            </w:tcMar>
          </w:tcPr>
          <w:p>
            <w:pPr>
              <w:spacing w:before="20" w:after="20" w:line="240" w:lineRule="auto"/>
              <w:jc w:val="left"/>
            </w:pPr>
            <w:r>
              <w:rPr>
                <w:color w:val="37474F"/>
                <w:sz w:val="18"/>
              </w:rPr>
              <w:t>Apex_TradeExecutor.mqh</w:t>
            </w:r>
          </w:p>
        </w:tc>
        <w:tc>
          <w:tcPr>
            <w:tcW w:w="4600" w:type="dxa"/>
            <w:tcMar>
              <w:top w:w="60" w:type="dxa"/>
              <w:left w:w="100" w:type="dxa"/>
              <w:bottom w:w="60" w:type="dxa"/>
              <w:right w:w="100" w:type="dxa"/>
            </w:tcMar>
          </w:tcPr>
          <w:p>
            <w:pPr>
              <w:spacing w:before="20" w:after="20" w:line="240" w:lineRule="auto"/>
              <w:jc w:val="left"/>
            </w:pPr>
            <w:r>
              <w:rPr>
                <w:color w:val="37474F"/>
                <w:sz w:val="18"/>
              </w:rPr>
              <w:t>Init/Execute/Manage/CloseAll/OpenCount</w:t>
            </w:r>
          </w:p>
        </w:tc>
        <w:tc>
          <w:tcPr>
            <w:tcW w:w="2000" w:type="dxa"/>
            <w:tcMar>
              <w:top w:w="60" w:type="dxa"/>
              <w:left w:w="100" w:type="dxa"/>
              <w:bottom w:w="60" w:type="dxa"/>
              <w:right w:w="100" w:type="dxa"/>
            </w:tcMar>
          </w:tcPr>
          <w:p>
            <w:pPr>
              <w:spacing w:before="20" w:after="20" w:line="240" w:lineRule="auto"/>
              <w:jc w:val="left"/>
            </w:pPr>
            <w:r>
              <w:rPr>
                <w:color w:val="37474F"/>
                <w:sz w:val="18"/>
              </w:rPr>
              <w:t>orders</w:t>
            </w:r>
          </w:p>
        </w:tc>
      </w:tr>
      <w:tr>
        <w:tc>
          <w:tcPr>
            <w:tcW w:w="2700" w:type="dxa"/>
            <w:tcMar>
              <w:top w:w="60" w:type="dxa"/>
              <w:left w:w="100" w:type="dxa"/>
              <w:bottom w:w="60" w:type="dxa"/>
              <w:right w:w="100" w:type="dxa"/>
            </w:tcMar>
          </w:tcPr>
          <w:p>
            <w:pPr>
              <w:spacing w:before="20" w:after="20" w:line="240" w:lineRule="auto"/>
              <w:jc w:val="left"/>
            </w:pPr>
            <w:r>
              <w:rPr>
                <w:color w:val="37474F"/>
                <w:sz w:val="18"/>
              </w:rPr>
              <w:t>Apex_SignalRelay.mqh</w:t>
            </w:r>
          </w:p>
        </w:tc>
        <w:tc>
          <w:tcPr>
            <w:tcW w:w="4600" w:type="dxa"/>
            <w:tcMar>
              <w:top w:w="60" w:type="dxa"/>
              <w:left w:w="100" w:type="dxa"/>
              <w:bottom w:w="60" w:type="dxa"/>
              <w:right w:w="100" w:type="dxa"/>
            </w:tcMar>
          </w:tcPr>
          <w:p>
            <w:pPr>
              <w:spacing w:before="20" w:after="20" w:line="240" w:lineRule="auto"/>
              <w:jc w:val="left"/>
            </w:pPr>
            <w:r>
              <w:rPr>
                <w:color w:val="37474F"/>
                <w:sz w:val="18"/>
              </w:rPr>
              <w:t>Init/Emit(SSignal, symbol)</w:t>
            </w:r>
          </w:p>
        </w:tc>
        <w:tc>
          <w:tcPr>
            <w:tcW w:w="2000" w:type="dxa"/>
            <w:tcMar>
              <w:top w:w="60" w:type="dxa"/>
              <w:left w:w="100" w:type="dxa"/>
              <w:bottom w:w="60" w:type="dxa"/>
              <w:right w:w="100" w:type="dxa"/>
            </w:tcMar>
          </w:tcPr>
          <w:p>
            <w:pPr>
              <w:spacing w:before="20" w:after="20" w:line="240" w:lineRule="auto"/>
              <w:jc w:val="left"/>
            </w:pPr>
            <w:r>
              <w:rPr>
                <w:color w:val="37474F"/>
                <w:sz w:val="18"/>
              </w:rPr>
              <w:t>files, push</w:t>
            </w:r>
          </w:p>
        </w:tc>
      </w:tr>
    </w:tbl>
    <w:p>
      <w:r>
        <w:t>Build order honouring dependencies: Config -&gt; DeltaFlow, MoneyFlow, VolumeProfile, VWAP, MarketStructure -&gt; AMD -&gt; OrderBook, Regime -&gt; SignalEngine -&gt; RiskManager, TradeExecutor, SignalRelay -&gt; EA -&gt; Indicator. Interfaces are frozen: any change requires a version bump of this document.</w:t>
      </w:r>
    </w:p>
    <w:p>
      <w:pPr>
        <w:pStyle w:val="Heading1"/>
      </w:pPr>
      <w:r>
        <w:t>18. VALIDATION &amp; RESEARCH RESULTS</w:t>
      </w:r>
      <w:bookmarkStart w:name="_T20" w:id="20"/>
      <w:bookmarkEnd w:id="20"/>
    </w:p>
    <w:p>
      <w:pPr>
        <w:pStyle w:val="Heading2"/>
      </w:pPr>
      <w:r>
        <w:t>18.1 Audit Gates</w:t>
      </w:r>
    </w:p>
    <w:tbl>
      <w:tblPr>
        <w:tblW w:w="5000" w:type="pct"/>
        <w:tblBorders>
          <w:top w:val="single" w:color="B8860B" w:sz="12"/>
          <w:bottom w:val="single" w:color="B8860B" w:sz="12"/>
          <w:insideH w:val="single" w:color="CFD8DC" w:sz="4"/>
          <w:insideV w:val="single" w:color="CFD8DC" w:sz="4"/>
        </w:tblBorders>
      </w:tblPr>
      <w:tblGrid>
        <w:gridCol w:w="2600"/>
        <w:gridCol w:w="6700"/>
      </w:tblGrid>
      <w:tr>
        <w:trPr>
          <w:tblHeader/>
        </w:trPr>
        <w:tc>
          <w:tcPr>
            <w:tcW w:w="2600" w:type="dxa"/>
            <w:shd w:val="clear" w:fill="ECEFF1"/>
            <w:tcMar>
              <w:top w:w="60" w:type="dxa"/>
              <w:left w:w="100" w:type="dxa"/>
              <w:bottom w:w="60" w:type="dxa"/>
              <w:right w:w="100" w:type="dxa"/>
            </w:tcMar>
          </w:tcPr>
          <w:p>
            <w:pPr>
              <w:spacing w:before="20" w:after="20" w:line="240" w:lineRule="auto"/>
              <w:jc w:val="left"/>
            </w:pPr>
            <w:r>
              <w:rPr>
                <w:b/>
                <w:color w:val="263238"/>
                <w:sz w:val="18"/>
              </w:rPr>
              <w:t>GATE</w:t>
            </w:r>
          </w:p>
        </w:tc>
        <w:tc>
          <w:tcPr>
            <w:tcW w:w="6700" w:type="dxa"/>
            <w:shd w:val="clear" w:fill="ECEFF1"/>
            <w:tcMar>
              <w:top w:w="60" w:type="dxa"/>
              <w:left w:w="100" w:type="dxa"/>
              <w:bottom w:w="60" w:type="dxa"/>
              <w:right w:w="100" w:type="dxa"/>
            </w:tcMar>
          </w:tcPr>
          <w:p>
            <w:pPr>
              <w:spacing w:before="20" w:after="20" w:line="240" w:lineRule="auto"/>
              <w:jc w:val="left"/>
            </w:pPr>
            <w:r>
              <w:rPr>
                <w:b/>
                <w:color w:val="263238"/>
                <w:sz w:val="18"/>
              </w:rPr>
              <w:t>RESULT</w:t>
            </w:r>
          </w:p>
        </w:tc>
      </w:tr>
      <w:tr>
        <w:tc>
          <w:tcPr>
            <w:tcW w:w="2600" w:type="dxa"/>
            <w:tcMar>
              <w:top w:w="60" w:type="dxa"/>
              <w:left w:w="100" w:type="dxa"/>
              <w:bottom w:w="60" w:type="dxa"/>
              <w:right w:w="100" w:type="dxa"/>
            </w:tcMar>
          </w:tcPr>
          <w:p>
            <w:pPr>
              <w:spacing w:before="20" w:after="20" w:line="240" w:lineRule="auto"/>
              <w:jc w:val="left"/>
            </w:pPr>
            <w:r>
              <w:rPr>
                <w:color w:val="37474F"/>
                <w:sz w:val="18"/>
              </w:rPr>
              <w:t>Gate 1 — module self-review</w:t>
            </w:r>
          </w:p>
        </w:tc>
        <w:tc>
          <w:tcPr>
            <w:tcW w:w="6700" w:type="dxa"/>
            <w:tcMar>
              <w:top w:w="60" w:type="dxa"/>
              <w:left w:w="100" w:type="dxa"/>
              <w:bottom w:w="60" w:type="dxa"/>
              <w:right w:w="100" w:type="dxa"/>
            </w:tcMar>
          </w:tcPr>
          <w:p>
            <w:pPr>
              <w:spacing w:before="20" w:after="20" w:line="240" w:lineRule="auto"/>
              <w:jc w:val="left"/>
            </w:pPr>
            <w:r>
              <w:rPr>
                <w:color w:val="37474F"/>
                <w:sz w:val="18"/>
              </w:rPr>
              <w:t>6/6 module pairs passed with documented fixes (MQL5 API arity, conversion warnings, guard coverage)</w:t>
            </w:r>
          </w:p>
        </w:tc>
      </w:tr>
      <w:tr>
        <w:tc>
          <w:tcPr>
            <w:tcW w:w="2600" w:type="dxa"/>
            <w:tcMar>
              <w:top w:w="60" w:type="dxa"/>
              <w:left w:w="100" w:type="dxa"/>
              <w:bottom w:w="60" w:type="dxa"/>
              <w:right w:w="100" w:type="dxa"/>
            </w:tcMar>
          </w:tcPr>
          <w:p>
            <w:pPr>
              <w:spacing w:before="20" w:after="20" w:line="240" w:lineRule="auto"/>
              <w:jc w:val="left"/>
            </w:pPr>
            <w:r>
              <w:rPr>
                <w:color w:val="37474F"/>
                <w:sz w:val="18"/>
              </w:rPr>
              <w:t>Gate 2 — independent static audit (13 files)</w:t>
            </w:r>
          </w:p>
        </w:tc>
        <w:tc>
          <w:tcPr>
            <w:tcW w:w="6700" w:type="dxa"/>
            <w:tcMar>
              <w:top w:w="60" w:type="dxa"/>
              <w:left w:w="100" w:type="dxa"/>
              <w:bottom w:w="60" w:type="dxa"/>
              <w:right w:w="100" w:type="dxa"/>
            </w:tcMar>
          </w:tcPr>
          <w:p>
            <w:pPr>
              <w:spacing w:before="20" w:after="20" w:line="240" w:lineRule="auto"/>
              <w:jc w:val="left"/>
            </w:pPr>
            <w:r>
              <w:rPr>
                <w:color w:val="37474F"/>
                <w:sz w:val="18"/>
              </w:rPr>
              <w:t>2 blocking defects found and fixed (DOM bool/count misuse; series-flag on static array); 11 files clean</w:t>
            </w:r>
          </w:p>
        </w:tc>
      </w:tr>
      <w:tr>
        <w:tc>
          <w:tcPr>
            <w:tcW w:w="2600" w:type="dxa"/>
            <w:tcMar>
              <w:top w:w="60" w:type="dxa"/>
              <w:left w:w="100" w:type="dxa"/>
              <w:bottom w:w="60" w:type="dxa"/>
              <w:right w:w="100" w:type="dxa"/>
            </w:tcMar>
          </w:tcPr>
          <w:p>
            <w:pPr>
              <w:spacing w:before="20" w:after="20" w:line="240" w:lineRule="auto"/>
              <w:jc w:val="left"/>
            </w:pPr>
            <w:r>
              <w:rPr>
                <w:color w:val="37474F"/>
                <w:sz w:val="18"/>
              </w:rPr>
              <w:t>Gate 3 — integration audit (EA + indicator)</w:t>
            </w:r>
          </w:p>
        </w:tc>
        <w:tc>
          <w:tcPr>
            <w:tcW w:w="6700" w:type="dxa"/>
            <w:tcMar>
              <w:top w:w="60" w:type="dxa"/>
              <w:left w:w="100" w:type="dxa"/>
              <w:bottom w:w="60" w:type="dxa"/>
              <w:right w:w="100" w:type="dxa"/>
            </w:tcMar>
          </w:tcPr>
          <w:p>
            <w:pPr>
              <w:spacing w:before="20" w:after="20" w:line="240" w:lineRule="auto"/>
              <w:jc w:val="left"/>
            </w:pPr>
            <w:r>
              <w:rPr>
                <w:color w:val="37474F"/>
                <w:sz w:val="18"/>
              </w:rPr>
              <w:t>1 compile blocker found and fixed (colour input reference); all 87 cross-module call sites contract-verified</w:t>
            </w:r>
          </w:p>
        </w:tc>
      </w:tr>
      <w:tr>
        <w:tc>
          <w:tcPr>
            <w:tcW w:w="2600" w:type="dxa"/>
            <w:tcMar>
              <w:top w:w="60" w:type="dxa"/>
              <w:left w:w="100" w:type="dxa"/>
              <w:bottom w:w="60" w:type="dxa"/>
              <w:right w:w="100" w:type="dxa"/>
            </w:tcMar>
          </w:tcPr>
          <w:p>
            <w:pPr>
              <w:spacing w:before="20" w:after="20" w:line="240" w:lineRule="auto"/>
              <w:jc w:val="left"/>
            </w:pPr>
            <w:r>
              <w:rPr>
                <w:color w:val="37474F"/>
                <w:sz w:val="18"/>
              </w:rPr>
              <w:t>Gate 4 — post-upgrade audits</w:t>
            </w:r>
          </w:p>
        </w:tc>
        <w:tc>
          <w:tcPr>
            <w:tcW w:w="6700" w:type="dxa"/>
            <w:tcMar>
              <w:top w:w="60" w:type="dxa"/>
              <w:left w:w="100" w:type="dxa"/>
              <w:bottom w:w="60" w:type="dxa"/>
              <w:right w:w="100" w:type="dxa"/>
            </w:tcMar>
          </w:tcPr>
          <w:p>
            <w:pPr>
              <w:spacing w:before="20" w:after="20" w:line="240" w:lineRule="auto"/>
              <w:jc w:val="left"/>
            </w:pPr>
            <w:r>
              <w:rPr>
                <w:color w:val="37474F"/>
                <w:sz w:val="18"/>
              </w:rPr>
              <w:t>3-tier book rewrite + time-stop: balanced, guarded, contract-clean</w:t>
            </w:r>
          </w:p>
        </w:tc>
      </w:tr>
      <w:tr>
        <w:tc>
          <w:tcPr>
            <w:tcW w:w="2600" w:type="dxa"/>
            <w:tcMar>
              <w:top w:w="60" w:type="dxa"/>
              <w:left w:w="100" w:type="dxa"/>
              <w:bottom w:w="60" w:type="dxa"/>
              <w:right w:w="100" w:type="dxa"/>
            </w:tcMar>
          </w:tcPr>
          <w:p>
            <w:pPr>
              <w:spacing w:before="20" w:after="20" w:line="240" w:lineRule="auto"/>
              <w:jc w:val="left"/>
            </w:pPr>
            <w:r>
              <w:rPr>
                <w:color w:val="37474F"/>
                <w:sz w:val="18"/>
              </w:rPr>
              <w:t>Defects total</w:t>
            </w:r>
          </w:p>
        </w:tc>
        <w:tc>
          <w:tcPr>
            <w:tcW w:w="6700" w:type="dxa"/>
            <w:tcMar>
              <w:top w:w="60" w:type="dxa"/>
              <w:left w:w="100" w:type="dxa"/>
              <w:bottom w:w="60" w:type="dxa"/>
              <w:right w:w="100" w:type="dxa"/>
            </w:tcMar>
          </w:tcPr>
          <w:p>
            <w:pPr>
              <w:spacing w:before="20" w:after="20" w:line="240" w:lineRule="auto"/>
              <w:jc w:val="left"/>
            </w:pPr>
            <w:r>
              <w:rPr>
                <w:color w:val="37474F"/>
                <w:sz w:val="18"/>
              </w:rPr>
              <w:t>7 found, 7 fixed, 0 known open</w:t>
            </w:r>
          </w:p>
        </w:tc>
      </w:tr>
    </w:tbl>
    <w:p>
      <w:pPr>
        <w:pStyle w:val="Heading2"/>
      </w:pPr>
      <w:r>
        <w:t>18.2 Backtest Evidence (Synthetic Harness)</w:t>
      </w:r>
    </w:p>
    <w:p>
      <w:r>
        <w:t>No MT5 terminal or real intraday feed was available to the research environment. A Python research harness therefore ported the full decision chain (identical weights, adaptive thresholds, structure, FVG/OB, AMD, regime, SL/TP/partials, risk gates) onto a calibrated multi-regime NAS100 generator (trend/range/breakout/quiet Markov regimes, GARCH volatility clustering, Student-t fat tails, session volatility shape, volume-|move| coupling). Six Monte-Carlo seeds x 260 days, realistic costs (spread + slippage). Results validate mechanics, risk behaviour and robustness across regime draws — NOT real-market edge. The harness ships with the system for re-runs.</w:t>
      </w:r>
    </w:p>
    <w:tbl>
      <w:tblPr>
        <w:tblW w:w="5000" w:type="pct"/>
        <w:tblBorders>
          <w:top w:val="single" w:color="B8860B" w:sz="12"/>
          <w:bottom w:val="single" w:color="B8860B" w:sz="12"/>
          <w:insideH w:val="single" w:color="CFD8DC" w:sz="4"/>
          <w:insideV w:val="single" w:color="CFD8DC" w:sz="4"/>
        </w:tblBorders>
      </w:tblPr>
      <w:tblGrid>
        <w:gridCol w:w="2300"/>
        <w:gridCol w:w="2300"/>
        <w:gridCol w:w="2300"/>
        <w:gridCol w:w="2300"/>
      </w:tblGrid>
      <w:tr>
        <w:trPr>
          <w:tblHeader/>
        </w:trPr>
        <w:tc>
          <w:tcPr>
            <w:tcW w:w="2300" w:type="dxa"/>
            <w:shd w:val="clear" w:fill="ECEFF1"/>
            <w:tcMar>
              <w:top w:w="60" w:type="dxa"/>
              <w:left w:w="100" w:type="dxa"/>
              <w:bottom w:w="60" w:type="dxa"/>
              <w:right w:w="100" w:type="dxa"/>
            </w:tcMar>
          </w:tcPr>
          <w:p>
            <w:pPr>
              <w:spacing w:before="20" w:after="20" w:line="240" w:lineRule="auto"/>
              <w:jc w:val="left"/>
            </w:pPr>
            <w:r>
              <w:rPr>
                <w:b/>
                <w:color w:val="263238"/>
                <w:sz w:val="18"/>
              </w:rPr>
              <w:t>METRIC (6-seed)</w:t>
            </w:r>
          </w:p>
        </w:tc>
        <w:tc>
          <w:tcPr>
            <w:tcW w:w="2300" w:type="dxa"/>
            <w:shd w:val="clear" w:fill="ECEFF1"/>
            <w:tcMar>
              <w:top w:w="60" w:type="dxa"/>
              <w:left w:w="100" w:type="dxa"/>
              <w:bottom w:w="60" w:type="dxa"/>
              <w:right w:w="100" w:type="dxa"/>
            </w:tcMar>
          </w:tcPr>
          <w:p>
            <w:pPr>
              <w:spacing w:before="20" w:after="20" w:line="240" w:lineRule="auto"/>
              <w:jc w:val="left"/>
            </w:pPr>
            <w:r>
              <w:rPr>
                <w:b/>
                <w:color w:val="263238"/>
                <w:sz w:val="18"/>
              </w:rPr>
              <w:t>BASELINE</w:t>
            </w:r>
          </w:p>
        </w:tc>
        <w:tc>
          <w:tcPr>
            <w:tcW w:w="2300" w:type="dxa"/>
            <w:shd w:val="clear" w:fill="ECEFF1"/>
            <w:tcMar>
              <w:top w:w="60" w:type="dxa"/>
              <w:left w:w="100" w:type="dxa"/>
              <w:bottom w:w="60" w:type="dxa"/>
              <w:right w:w="100" w:type="dxa"/>
            </w:tcMar>
          </w:tcPr>
          <w:p>
            <w:pPr>
              <w:spacing w:before="20" w:after="20" w:line="240" w:lineRule="auto"/>
              <w:jc w:val="left"/>
            </w:pPr>
            <w:r>
              <w:rPr>
                <w:b/>
                <w:color w:val="263238"/>
                <w:sz w:val="18"/>
              </w:rPr>
              <w:t>+ TIME-STOP</w:t>
            </w:r>
          </w:p>
        </w:tc>
        <w:tc>
          <w:tcPr>
            <w:tcW w:w="2300" w:type="dxa"/>
            <w:shd w:val="clear" w:fill="ECEFF1"/>
            <w:tcMar>
              <w:top w:w="60" w:type="dxa"/>
              <w:left w:w="100" w:type="dxa"/>
              <w:bottom w:w="60" w:type="dxa"/>
              <w:right w:w="100" w:type="dxa"/>
            </w:tcMar>
          </w:tcPr>
          <w:p>
            <w:pPr>
              <w:spacing w:before="20" w:after="20" w:line="240" w:lineRule="auto"/>
              <w:jc w:val="left"/>
            </w:pPr>
            <w:r>
              <w:rPr>
                <w:b/>
                <w:color w:val="263238"/>
                <w:sz w:val="18"/>
              </w:rPr>
              <w:t>READING</w:t>
            </w:r>
          </w:p>
        </w:tc>
      </w:tr>
      <w:tr>
        <w:tc>
          <w:tcPr>
            <w:tcW w:w="2300" w:type="dxa"/>
            <w:tcMar>
              <w:top w:w="60" w:type="dxa"/>
              <w:left w:w="100" w:type="dxa"/>
              <w:bottom w:w="60" w:type="dxa"/>
              <w:right w:w="100" w:type="dxa"/>
            </w:tcMar>
          </w:tcPr>
          <w:p>
            <w:pPr>
              <w:spacing w:before="20" w:after="20" w:line="240" w:lineRule="auto"/>
              <w:jc w:val="left"/>
            </w:pPr>
            <w:r>
              <w:rPr>
                <w:color w:val="37474F"/>
                <w:sz w:val="18"/>
              </w:rPr>
              <w:t>Mean annual return</w:t>
            </w:r>
          </w:p>
        </w:tc>
        <w:tc>
          <w:tcPr>
            <w:tcW w:w="2300" w:type="dxa"/>
            <w:tcMar>
              <w:top w:w="60" w:type="dxa"/>
              <w:left w:w="100" w:type="dxa"/>
              <w:bottom w:w="60" w:type="dxa"/>
              <w:right w:w="100" w:type="dxa"/>
            </w:tcMar>
          </w:tcPr>
          <w:p>
            <w:pPr>
              <w:spacing w:before="20" w:after="20" w:line="240" w:lineRule="auto"/>
              <w:jc w:val="left"/>
            </w:pPr>
            <w:r>
              <w:rPr>
                <w:color w:val="37474F"/>
                <w:sz w:val="18"/>
              </w:rPr>
              <w:t>+1.83%</w:t>
            </w:r>
          </w:p>
        </w:tc>
        <w:tc>
          <w:tcPr>
            <w:tcW w:w="2300" w:type="dxa"/>
            <w:tcMar>
              <w:top w:w="60" w:type="dxa"/>
              <w:left w:w="100" w:type="dxa"/>
              <w:bottom w:w="60" w:type="dxa"/>
              <w:right w:w="100" w:type="dxa"/>
            </w:tcMar>
          </w:tcPr>
          <w:p>
            <w:pPr>
              <w:spacing w:before="20" w:after="20" w:line="240" w:lineRule="auto"/>
              <w:jc w:val="left"/>
            </w:pPr>
            <w:r>
              <w:rPr>
                <w:color w:val="37474F"/>
                <w:sz w:val="18"/>
              </w:rPr>
              <w:t>+2.12%</w:t>
            </w:r>
          </w:p>
        </w:tc>
        <w:tc>
          <w:tcPr>
            <w:tcW w:w="2300" w:type="dxa"/>
            <w:tcMar>
              <w:top w:w="60" w:type="dxa"/>
              <w:left w:w="100" w:type="dxa"/>
              <w:bottom w:w="60" w:type="dxa"/>
              <w:right w:w="100" w:type="dxa"/>
            </w:tcMar>
          </w:tcPr>
          <w:p>
            <w:pPr>
              <w:spacing w:before="20" w:after="20" w:line="240" w:lineRule="auto"/>
              <w:jc w:val="left"/>
            </w:pPr>
            <w:r>
              <w:rPr>
                <w:color w:val="37474F"/>
                <w:sz w:val="18"/>
              </w:rPr>
              <w:t>improved</w:t>
            </w:r>
          </w:p>
        </w:tc>
      </w:tr>
      <w:tr>
        <w:tc>
          <w:tcPr>
            <w:tcW w:w="2300" w:type="dxa"/>
            <w:tcMar>
              <w:top w:w="60" w:type="dxa"/>
              <w:left w:w="100" w:type="dxa"/>
              <w:bottom w:w="60" w:type="dxa"/>
              <w:right w:w="100" w:type="dxa"/>
            </w:tcMar>
          </w:tcPr>
          <w:p>
            <w:pPr>
              <w:spacing w:before="20" w:after="20" w:line="240" w:lineRule="auto"/>
              <w:jc w:val="left"/>
            </w:pPr>
            <w:r>
              <w:rPr>
                <w:color w:val="37474F"/>
                <w:sz w:val="18"/>
              </w:rPr>
              <w:t>Mean max drawdown</w:t>
            </w:r>
          </w:p>
        </w:tc>
        <w:tc>
          <w:tcPr>
            <w:tcW w:w="2300" w:type="dxa"/>
            <w:tcMar>
              <w:top w:w="60" w:type="dxa"/>
              <w:left w:w="100" w:type="dxa"/>
              <w:bottom w:w="60" w:type="dxa"/>
              <w:right w:w="100" w:type="dxa"/>
            </w:tcMar>
          </w:tcPr>
          <w:p>
            <w:pPr>
              <w:spacing w:before="20" w:after="20" w:line="240" w:lineRule="auto"/>
              <w:jc w:val="left"/>
            </w:pPr>
            <w:r>
              <w:rPr>
                <w:color w:val="37474F"/>
                <w:sz w:val="18"/>
              </w:rPr>
              <w:t>2.85%</w:t>
            </w:r>
          </w:p>
        </w:tc>
        <w:tc>
          <w:tcPr>
            <w:tcW w:w="2300" w:type="dxa"/>
            <w:tcMar>
              <w:top w:w="60" w:type="dxa"/>
              <w:left w:w="100" w:type="dxa"/>
              <w:bottom w:w="60" w:type="dxa"/>
              <w:right w:w="100" w:type="dxa"/>
            </w:tcMar>
          </w:tcPr>
          <w:p>
            <w:pPr>
              <w:spacing w:before="20" w:after="20" w:line="240" w:lineRule="auto"/>
              <w:jc w:val="left"/>
            </w:pPr>
            <w:r>
              <w:rPr>
                <w:color w:val="37474F"/>
                <w:sz w:val="18"/>
              </w:rPr>
              <w:t>2.13%</w:t>
            </w:r>
          </w:p>
        </w:tc>
        <w:tc>
          <w:tcPr>
            <w:tcW w:w="2300" w:type="dxa"/>
            <w:tcMar>
              <w:top w:w="60" w:type="dxa"/>
              <w:left w:w="100" w:type="dxa"/>
              <w:bottom w:w="60" w:type="dxa"/>
              <w:right w:w="100" w:type="dxa"/>
            </w:tcMar>
          </w:tcPr>
          <w:p>
            <w:pPr>
              <w:spacing w:before="20" w:after="20" w:line="240" w:lineRule="auto"/>
              <w:jc w:val="left"/>
            </w:pPr>
            <w:r>
              <w:rPr>
                <w:color w:val="37474F"/>
                <w:sz w:val="18"/>
              </w:rPr>
              <w:t>-25% relative</w:t>
            </w:r>
          </w:p>
        </w:tc>
      </w:tr>
      <w:tr>
        <w:tc>
          <w:tcPr>
            <w:tcW w:w="2300" w:type="dxa"/>
            <w:tcMar>
              <w:top w:w="60" w:type="dxa"/>
              <w:left w:w="100" w:type="dxa"/>
              <w:bottom w:w="60" w:type="dxa"/>
              <w:right w:w="100" w:type="dxa"/>
            </w:tcMar>
          </w:tcPr>
          <w:p>
            <w:pPr>
              <w:spacing w:before="20" w:after="20" w:line="240" w:lineRule="auto"/>
              <w:jc w:val="left"/>
            </w:pPr>
            <w:r>
              <w:rPr>
                <w:color w:val="37474F"/>
                <w:sz w:val="18"/>
              </w:rPr>
              <w:t>Worst-seed return</w:t>
            </w:r>
          </w:p>
        </w:tc>
        <w:tc>
          <w:tcPr>
            <w:tcW w:w="2300" w:type="dxa"/>
            <w:tcMar>
              <w:top w:w="60" w:type="dxa"/>
              <w:left w:w="100" w:type="dxa"/>
              <w:bottom w:w="60" w:type="dxa"/>
              <w:right w:w="100" w:type="dxa"/>
            </w:tcMar>
          </w:tcPr>
          <w:p>
            <w:pPr>
              <w:spacing w:before="20" w:after="20" w:line="240" w:lineRule="auto"/>
              <w:jc w:val="left"/>
            </w:pPr>
            <w:r>
              <w:rPr>
                <w:color w:val="37474F"/>
                <w:sz w:val="18"/>
              </w:rPr>
              <w:t>-3.15%</w:t>
            </w:r>
          </w:p>
        </w:tc>
        <w:tc>
          <w:tcPr>
            <w:tcW w:w="2300" w:type="dxa"/>
            <w:tcMar>
              <w:top w:w="60" w:type="dxa"/>
              <w:left w:w="100" w:type="dxa"/>
              <w:bottom w:w="60" w:type="dxa"/>
              <w:right w:w="100" w:type="dxa"/>
            </w:tcMar>
          </w:tcPr>
          <w:p>
            <w:pPr>
              <w:spacing w:before="20" w:after="20" w:line="240" w:lineRule="auto"/>
              <w:jc w:val="left"/>
            </w:pPr>
            <w:r>
              <w:rPr>
                <w:color w:val="37474F"/>
                <w:sz w:val="18"/>
              </w:rPr>
              <w:t>-2.42%</w:t>
            </w:r>
          </w:p>
        </w:tc>
        <w:tc>
          <w:tcPr>
            <w:tcW w:w="2300" w:type="dxa"/>
            <w:tcMar>
              <w:top w:w="60" w:type="dxa"/>
              <w:left w:w="100" w:type="dxa"/>
              <w:bottom w:w="60" w:type="dxa"/>
              <w:right w:w="100" w:type="dxa"/>
            </w:tcMar>
          </w:tcPr>
          <w:p>
            <w:pPr>
              <w:spacing w:before="20" w:after="20" w:line="240" w:lineRule="auto"/>
              <w:jc w:val="left"/>
            </w:pPr>
            <w:r>
              <w:rPr>
                <w:color w:val="37474F"/>
                <w:sz w:val="18"/>
              </w:rPr>
              <w:t>tail improved</w:t>
            </w:r>
          </w:p>
        </w:tc>
      </w:tr>
      <w:tr>
        <w:tc>
          <w:tcPr>
            <w:tcW w:w="2300" w:type="dxa"/>
            <w:tcMar>
              <w:top w:w="60" w:type="dxa"/>
              <w:left w:w="100" w:type="dxa"/>
              <w:bottom w:w="60" w:type="dxa"/>
              <w:right w:w="100" w:type="dxa"/>
            </w:tcMar>
          </w:tcPr>
          <w:p>
            <w:pPr>
              <w:spacing w:before="20" w:after="20" w:line="240" w:lineRule="auto"/>
              <w:jc w:val="left"/>
            </w:pPr>
            <w:r>
              <w:rPr>
                <w:color w:val="37474F"/>
                <w:sz w:val="18"/>
              </w:rPr>
              <w:t>Trades/day</w:t>
            </w:r>
          </w:p>
        </w:tc>
        <w:tc>
          <w:tcPr>
            <w:tcW w:w="2300" w:type="dxa"/>
            <w:tcMar>
              <w:top w:w="60" w:type="dxa"/>
              <w:left w:w="100" w:type="dxa"/>
              <w:bottom w:w="60" w:type="dxa"/>
              <w:right w:w="100" w:type="dxa"/>
            </w:tcMar>
          </w:tcPr>
          <w:p>
            <w:pPr>
              <w:spacing w:before="20" w:after="20" w:line="240" w:lineRule="auto"/>
              <w:jc w:val="left"/>
            </w:pPr>
            <w:r>
              <w:rPr>
                <w:color w:val="37474F"/>
                <w:sz w:val="18"/>
              </w:rPr>
              <w:t>~0.15</w:t>
            </w:r>
          </w:p>
        </w:tc>
        <w:tc>
          <w:tcPr>
            <w:tcW w:w="2300" w:type="dxa"/>
            <w:tcMar>
              <w:top w:w="60" w:type="dxa"/>
              <w:left w:w="100" w:type="dxa"/>
              <w:bottom w:w="60" w:type="dxa"/>
              <w:right w:w="100" w:type="dxa"/>
            </w:tcMar>
          </w:tcPr>
          <w:p>
            <w:pPr>
              <w:spacing w:before="20" w:after="20" w:line="240" w:lineRule="auto"/>
              <w:jc w:val="left"/>
            </w:pPr>
            <w:r>
              <w:rPr>
                <w:color w:val="37474F"/>
                <w:sz w:val="18"/>
              </w:rPr>
              <w:t>~0.15</w:t>
            </w:r>
          </w:p>
        </w:tc>
        <w:tc>
          <w:tcPr>
            <w:tcW w:w="2300" w:type="dxa"/>
            <w:tcMar>
              <w:top w:w="60" w:type="dxa"/>
              <w:left w:w="100" w:type="dxa"/>
              <w:bottom w:w="60" w:type="dxa"/>
              <w:right w:w="100" w:type="dxa"/>
            </w:tcMar>
          </w:tcPr>
          <w:p>
            <w:pPr>
              <w:spacing w:before="20" w:after="20" w:line="240" w:lineRule="auto"/>
              <w:jc w:val="left"/>
            </w:pPr>
            <w:r>
              <w:rPr>
                <w:color w:val="37474F"/>
                <w:sz w:val="18"/>
              </w:rPr>
              <w:t>ultra-selective by design</w:t>
            </w:r>
          </w:p>
        </w:tc>
      </w:tr>
    </w:tbl>
    <w:p>
      <w:pPr>
        <w:pStyle w:val="Caption"/>
      </w:pPr>
      <w:r>
        <w:t>Table — risk system behaviour verified: halts triggered correctly in the losing-regime seed; daily DD never breached limits.</w:t>
      </w:r>
    </w:p>
    <w:p>
      <w:pPr>
        <w:pStyle w:val="Heading2"/>
      </w:pPr>
      <w:r>
        <w:t>18.3 Accepted &amp; Rejected Upgrades</w:t>
      </w:r>
    </w:p>
    <w:tbl>
      <w:tblPr>
        <w:tblW w:w="5000" w:type="pct"/>
        <w:tblBorders>
          <w:top w:val="single" w:color="B8860B" w:sz="12"/>
          <w:bottom w:val="single" w:color="B8860B" w:sz="12"/>
          <w:insideH w:val="single" w:color="CFD8DC" w:sz="4"/>
          <w:insideV w:val="single" w:color="CFD8DC" w:sz="4"/>
        </w:tblBorders>
      </w:tblPr>
      <w:tblGrid>
        <w:gridCol w:w="2900"/>
        <w:gridCol w:w="1700"/>
        <w:gridCol w:w="4700"/>
      </w:tblGrid>
      <w:tr>
        <w:trPr>
          <w:tblHeader/>
        </w:trPr>
        <w:tc>
          <w:tcPr>
            <w:tcW w:w="2900" w:type="dxa"/>
            <w:shd w:val="clear" w:fill="ECEFF1"/>
            <w:tcMar>
              <w:top w:w="60" w:type="dxa"/>
              <w:left w:w="100" w:type="dxa"/>
              <w:bottom w:w="60" w:type="dxa"/>
              <w:right w:w="100" w:type="dxa"/>
            </w:tcMar>
          </w:tcPr>
          <w:p>
            <w:pPr>
              <w:spacing w:before="20" w:after="20" w:line="240" w:lineRule="auto"/>
              <w:jc w:val="left"/>
            </w:pPr>
            <w:r>
              <w:rPr>
                <w:b/>
                <w:color w:val="263238"/>
                <w:sz w:val="18"/>
              </w:rPr>
              <w:t>CANDIDATE</w:t>
            </w:r>
          </w:p>
        </w:tc>
        <w:tc>
          <w:tcPr>
            <w:tcW w:w="1700" w:type="dxa"/>
            <w:shd w:val="clear" w:fill="ECEFF1"/>
            <w:tcMar>
              <w:top w:w="60" w:type="dxa"/>
              <w:left w:w="100" w:type="dxa"/>
              <w:bottom w:w="60" w:type="dxa"/>
              <w:right w:w="100" w:type="dxa"/>
            </w:tcMar>
          </w:tcPr>
          <w:p>
            <w:pPr>
              <w:spacing w:before="20" w:after="20" w:line="240" w:lineRule="auto"/>
              <w:jc w:val="left"/>
            </w:pPr>
            <w:r>
              <w:rPr>
                <w:b/>
                <w:color w:val="263238"/>
                <w:sz w:val="18"/>
              </w:rPr>
              <w:t>VERDICT</w:t>
            </w:r>
          </w:p>
        </w:tc>
        <w:tc>
          <w:tcPr>
            <w:tcW w:w="4700" w:type="dxa"/>
            <w:shd w:val="clear" w:fill="ECEFF1"/>
            <w:tcMar>
              <w:top w:w="60" w:type="dxa"/>
              <w:left w:w="100" w:type="dxa"/>
              <w:bottom w:w="60" w:type="dxa"/>
              <w:right w:w="100" w:type="dxa"/>
            </w:tcMar>
          </w:tcPr>
          <w:p>
            <w:pPr>
              <w:spacing w:before="20" w:after="20" w:line="240" w:lineRule="auto"/>
              <w:jc w:val="left"/>
            </w:pPr>
            <w:r>
              <w:rPr>
                <w:b/>
                <w:color w:val="263238"/>
                <w:sz w:val="18"/>
              </w:rPr>
              <w:t>EVIDENCE</w:t>
            </w:r>
          </w:p>
        </w:tc>
      </w:tr>
      <w:tr>
        <w:tc>
          <w:tcPr>
            <w:tcW w:w="2900" w:type="dxa"/>
            <w:tcMar>
              <w:top w:w="60" w:type="dxa"/>
              <w:left w:w="100" w:type="dxa"/>
              <w:bottom w:w="60" w:type="dxa"/>
              <w:right w:w="100" w:type="dxa"/>
            </w:tcMar>
          </w:tcPr>
          <w:p>
            <w:pPr>
              <w:spacing w:before="20" w:after="20" w:line="240" w:lineRule="auto"/>
              <w:jc w:val="left"/>
            </w:pPr>
            <w:r>
              <w:rPr>
                <w:color w:val="37474F"/>
                <w:sz w:val="18"/>
              </w:rPr>
              <w:t>Range-trigger trading + achievable-max normalisation</w:t>
            </w:r>
          </w:p>
        </w:tc>
        <w:tc>
          <w:tcPr>
            <w:tcW w:w="1700" w:type="dxa"/>
            <w:tcMar>
              <w:top w:w="60" w:type="dxa"/>
              <w:left w:w="100" w:type="dxa"/>
              <w:bottom w:w="60" w:type="dxa"/>
              <w:right w:w="100" w:type="dxa"/>
            </w:tcMar>
          </w:tcPr>
          <w:p>
            <w:pPr>
              <w:spacing w:before="20" w:after="20" w:line="240" w:lineRule="auto"/>
              <w:jc w:val="left"/>
            </w:pPr>
            <w:r>
              <w:rPr>
                <w:color w:val="37474F"/>
                <w:sz w:val="18"/>
              </w:rPr>
              <w:t>REJECTED</w:t>
            </w:r>
          </w:p>
        </w:tc>
        <w:tc>
          <w:tcPr>
            <w:tcW w:w="4700" w:type="dxa"/>
            <w:tcMar>
              <w:top w:w="60" w:type="dxa"/>
              <w:left w:w="100" w:type="dxa"/>
              <w:bottom w:w="60" w:type="dxa"/>
              <w:right w:w="100" w:type="dxa"/>
            </w:tcMar>
          </w:tcPr>
          <w:p>
            <w:pPr>
              <w:spacing w:before="20" w:after="20" w:line="240" w:lineRule="auto"/>
              <w:jc w:val="left"/>
            </w:pPr>
            <w:r>
              <w:rPr>
                <w:color w:val="37474F"/>
                <w:sz w:val="18"/>
              </w:rPr>
              <w:t>hurt 3/3 test seeds (-0.2 to -1.0%/yr each)</w:t>
            </w:r>
          </w:p>
        </w:tc>
      </w:tr>
      <w:tr>
        <w:tc>
          <w:tcPr>
            <w:tcW w:w="2900" w:type="dxa"/>
            <w:tcMar>
              <w:top w:w="60" w:type="dxa"/>
              <w:left w:w="100" w:type="dxa"/>
              <w:bottom w:w="60" w:type="dxa"/>
              <w:right w:w="100" w:type="dxa"/>
            </w:tcMar>
          </w:tcPr>
          <w:p>
            <w:pPr>
              <w:spacing w:before="20" w:after="20" w:line="240" w:lineRule="auto"/>
              <w:jc w:val="left"/>
            </w:pPr>
            <w:r>
              <w:rPr>
                <w:color w:val="37474F"/>
                <w:sz w:val="18"/>
              </w:rPr>
              <w:t>Consecutive-loss daily cooldown</w:t>
            </w:r>
          </w:p>
        </w:tc>
        <w:tc>
          <w:tcPr>
            <w:tcW w:w="1700" w:type="dxa"/>
            <w:tcMar>
              <w:top w:w="60" w:type="dxa"/>
              <w:left w:w="100" w:type="dxa"/>
              <w:bottom w:w="60" w:type="dxa"/>
              <w:right w:w="100" w:type="dxa"/>
            </w:tcMar>
          </w:tcPr>
          <w:p>
            <w:pPr>
              <w:spacing w:before="20" w:after="20" w:line="240" w:lineRule="auto"/>
              <w:jc w:val="left"/>
            </w:pPr>
            <w:r>
              <w:rPr>
                <w:color w:val="37474F"/>
                <w:sz w:val="18"/>
              </w:rPr>
              <w:t>REJECTED</w:t>
            </w:r>
          </w:p>
        </w:tc>
        <w:tc>
          <w:tcPr>
            <w:tcW w:w="4700" w:type="dxa"/>
            <w:tcMar>
              <w:top w:w="60" w:type="dxa"/>
              <w:left w:w="100" w:type="dxa"/>
              <w:bottom w:w="60" w:type="dxa"/>
              <w:right w:w="100" w:type="dxa"/>
            </w:tcMar>
          </w:tcPr>
          <w:p>
            <w:pPr>
              <w:spacing w:before="20" w:after="20" w:line="240" w:lineRule="auto"/>
              <w:jc w:val="left"/>
            </w:pPr>
            <w:r>
              <w:rPr>
                <w:color w:val="37474F"/>
                <w:sz w:val="18"/>
              </w:rPr>
              <w:t>never triggered at 0.15 trades/day; complexity without benefit</w:t>
            </w:r>
          </w:p>
        </w:tc>
      </w:tr>
      <w:tr>
        <w:tc>
          <w:tcPr>
            <w:tcW w:w="2900" w:type="dxa"/>
            <w:tcMar>
              <w:top w:w="60" w:type="dxa"/>
              <w:left w:w="100" w:type="dxa"/>
              <w:bottom w:w="60" w:type="dxa"/>
              <w:right w:w="100" w:type="dxa"/>
            </w:tcMar>
          </w:tcPr>
          <w:p>
            <w:pPr>
              <w:spacing w:before="20" w:after="20" w:line="240" w:lineRule="auto"/>
              <w:jc w:val="left"/>
            </w:pPr>
            <w:r>
              <w:rPr>
                <w:color w:val="37474F"/>
                <w:sz w:val="18"/>
              </w:rPr>
              <w:t>Time-stop exit (12 bars)</w:t>
            </w:r>
          </w:p>
        </w:tc>
        <w:tc>
          <w:tcPr>
            <w:tcW w:w="1700" w:type="dxa"/>
            <w:tcMar>
              <w:top w:w="60" w:type="dxa"/>
              <w:left w:w="100" w:type="dxa"/>
              <w:bottom w:w="60" w:type="dxa"/>
              <w:right w:w="100" w:type="dxa"/>
            </w:tcMar>
          </w:tcPr>
          <w:p>
            <w:pPr>
              <w:spacing w:before="20" w:after="20" w:line="240" w:lineRule="auto"/>
              <w:jc w:val="left"/>
            </w:pPr>
            <w:r>
              <w:rPr>
                <w:color w:val="37474F"/>
                <w:sz w:val="18"/>
              </w:rPr>
              <w:t>ACCEPTED</w:t>
            </w:r>
          </w:p>
        </w:tc>
        <w:tc>
          <w:tcPr>
            <w:tcW w:w="4700" w:type="dxa"/>
            <w:tcMar>
              <w:top w:w="60" w:type="dxa"/>
              <w:left w:w="100" w:type="dxa"/>
              <w:bottom w:w="60" w:type="dxa"/>
              <w:right w:w="100" w:type="dxa"/>
            </w:tcMar>
          </w:tcPr>
          <w:p>
            <w:pPr>
              <w:spacing w:before="20" w:after="20" w:line="240" w:lineRule="auto"/>
              <w:jc w:val="left"/>
            </w:pPr>
            <w:r>
              <w:rPr>
                <w:color w:val="37474F"/>
                <w:sz w:val="18"/>
              </w:rPr>
              <w:t>improved mean return, mean DD and worst case across 6 seeds; theory: scalp momentum decays</w:t>
            </w:r>
          </w:p>
        </w:tc>
      </w:tr>
    </w:tbl>
    <w:p>
      <w:pPr>
        <w:pStyle w:val="Heading1"/>
      </w:pPr>
      <w:r>
        <w:t>19. EVIDENCE-GATED IMPROVEMENT ROADMAP</w:t>
      </w:r>
      <w:bookmarkStart w:name="_T21" w:id="21"/>
      <w:bookmarkEnd w:id="21"/>
    </w:p>
    <w:p>
      <w:r>
        <w:t>The architecture is closed to intuition-driven changes. Every future candidate must pass this protocol before touching the trading code: (1) implement behind a flag; (2) Monte-Carlo across at least 6 regime seeds in the harness; (3) accept only if mean return does not fall AND (mean DD or worst case improves); (4) then confirm on a real-ticks MT5 backtest; (5) then demo 4 weeks. Candidates already queued:</w:t>
      </w:r>
    </w:p>
    <w:tbl>
      <w:tblPr>
        <w:tblW w:w="5000" w:type="pct"/>
        <w:tblBorders>
          <w:top w:val="single" w:color="B8860B" w:sz="12"/>
          <w:bottom w:val="single" w:color="B8860B" w:sz="12"/>
          <w:insideH w:val="single" w:color="CFD8DC" w:sz="4"/>
          <w:insideV w:val="single" w:color="CFD8DC" w:sz="4"/>
        </w:tblBorders>
      </w:tblPr>
      <w:tblGrid>
        <w:gridCol w:w="3000"/>
        <w:gridCol w:w="6300"/>
      </w:tblGrid>
      <w:tr>
        <w:trPr>
          <w:tblHeader/>
        </w:trPr>
        <w:tc>
          <w:tcPr>
            <w:tcW w:w="3000" w:type="dxa"/>
            <w:shd w:val="clear" w:fill="ECEFF1"/>
            <w:tcMar>
              <w:top w:w="60" w:type="dxa"/>
              <w:left w:w="100" w:type="dxa"/>
              <w:bottom w:w="60" w:type="dxa"/>
              <w:right w:w="100" w:type="dxa"/>
            </w:tcMar>
          </w:tcPr>
          <w:p>
            <w:pPr>
              <w:spacing w:before="20" w:after="20" w:line="240" w:lineRule="auto"/>
              <w:jc w:val="left"/>
            </w:pPr>
            <w:r>
              <w:rPr>
                <w:b/>
                <w:color w:val="263238"/>
                <w:sz w:val="18"/>
              </w:rPr>
              <w:t>CANDIDATE (v2.1+)</w:t>
            </w:r>
          </w:p>
        </w:tc>
        <w:tc>
          <w:tcPr>
            <w:tcW w:w="6300" w:type="dxa"/>
            <w:shd w:val="clear" w:fill="ECEFF1"/>
            <w:tcMar>
              <w:top w:w="60" w:type="dxa"/>
              <w:left w:w="100" w:type="dxa"/>
              <w:bottom w:w="60" w:type="dxa"/>
              <w:right w:w="100" w:type="dxa"/>
            </w:tcMar>
          </w:tcPr>
          <w:p>
            <w:pPr>
              <w:spacing w:before="20" w:after="20" w:line="240" w:lineRule="auto"/>
              <w:jc w:val="left"/>
            </w:pPr>
            <w:r>
              <w:rPr>
                <w:b/>
                <w:color w:val="263238"/>
                <w:sz w:val="18"/>
              </w:rPr>
              <w:t>HYPOTHESIS TO TEST</w:t>
            </w:r>
          </w:p>
        </w:tc>
      </w:tr>
      <w:tr>
        <w:tc>
          <w:tcPr>
            <w:tcW w:w="3000" w:type="dxa"/>
            <w:tcMar>
              <w:top w:w="60" w:type="dxa"/>
              <w:left w:w="100" w:type="dxa"/>
              <w:bottom w:w="60" w:type="dxa"/>
              <w:right w:w="100" w:type="dxa"/>
            </w:tcMar>
          </w:tcPr>
          <w:p>
            <w:pPr>
              <w:spacing w:before="20" w:after="20" w:line="240" w:lineRule="auto"/>
              <w:jc w:val="left"/>
            </w:pPr>
            <w:r>
              <w:rPr>
                <w:color w:val="37474F"/>
                <w:sz w:val="18"/>
              </w:rPr>
              <w:t>Signal cooldown after SL re-entry guard</w:t>
            </w:r>
          </w:p>
        </w:tc>
        <w:tc>
          <w:tcPr>
            <w:tcW w:w="6300" w:type="dxa"/>
            <w:tcMar>
              <w:top w:w="60" w:type="dxa"/>
              <w:left w:w="100" w:type="dxa"/>
              <w:bottom w:w="60" w:type="dxa"/>
              <w:right w:w="100" w:type="dxa"/>
            </w:tcMar>
          </w:tcPr>
          <w:p>
            <w:pPr>
              <w:spacing w:before="20" w:after="20" w:line="240" w:lineRule="auto"/>
              <w:jc w:val="left"/>
            </w:pPr>
            <w:r>
              <w:rPr>
                <w:color w:val="37474F"/>
                <w:sz w:val="18"/>
              </w:rPr>
              <w:t>After a stop-out, the same-direction zone is stale; require fresh structure before re-entry</w:t>
            </w:r>
          </w:p>
        </w:tc>
      </w:tr>
      <w:tr>
        <w:tc>
          <w:tcPr>
            <w:tcW w:w="3000" w:type="dxa"/>
            <w:tcMar>
              <w:top w:w="60" w:type="dxa"/>
              <w:left w:w="100" w:type="dxa"/>
              <w:bottom w:w="60" w:type="dxa"/>
              <w:right w:w="100" w:type="dxa"/>
            </w:tcMar>
          </w:tcPr>
          <w:p>
            <w:pPr>
              <w:spacing w:before="20" w:after="20" w:line="240" w:lineRule="auto"/>
              <w:jc w:val="left"/>
            </w:pPr>
            <w:r>
              <w:rPr>
                <w:color w:val="37474F"/>
                <w:sz w:val="18"/>
              </w:rPr>
              <w:t>Session-conditional thresholds</w:t>
            </w:r>
          </w:p>
        </w:tc>
        <w:tc>
          <w:tcPr>
            <w:tcW w:w="6300" w:type="dxa"/>
            <w:tcMar>
              <w:top w:w="60" w:type="dxa"/>
              <w:left w:w="100" w:type="dxa"/>
              <w:bottom w:w="60" w:type="dxa"/>
              <w:right w:w="100" w:type="dxa"/>
            </w:tcMar>
          </w:tcPr>
          <w:p>
            <w:pPr>
              <w:spacing w:before="20" w:after="20" w:line="240" w:lineRule="auto"/>
              <w:jc w:val="left"/>
            </w:pPr>
            <w:r>
              <w:rPr>
                <w:color w:val="37474F"/>
                <w:sz w:val="18"/>
              </w:rPr>
              <w:t>London open vs NY afternoon have different evidence densities; threshold per session block</w:t>
            </w:r>
          </w:p>
        </w:tc>
      </w:tr>
      <w:tr>
        <w:tc>
          <w:tcPr>
            <w:tcW w:w="3000" w:type="dxa"/>
            <w:tcMar>
              <w:top w:w="60" w:type="dxa"/>
              <w:left w:w="100" w:type="dxa"/>
              <w:bottom w:w="60" w:type="dxa"/>
              <w:right w:w="100" w:type="dxa"/>
            </w:tcMar>
          </w:tcPr>
          <w:p>
            <w:pPr>
              <w:spacing w:before="20" w:after="20" w:line="240" w:lineRule="auto"/>
              <w:jc w:val="left"/>
            </w:pPr>
            <w:r>
              <w:rPr>
                <w:color w:val="37474F"/>
                <w:sz w:val="18"/>
              </w:rPr>
              <w:t>Dynamic profile window</w:t>
            </w:r>
          </w:p>
        </w:tc>
        <w:tc>
          <w:tcPr>
            <w:tcW w:w="6300" w:type="dxa"/>
            <w:tcMar>
              <w:top w:w="60" w:type="dxa"/>
              <w:left w:w="100" w:type="dxa"/>
              <w:bottom w:w="60" w:type="dxa"/>
              <w:right w:w="100" w:type="dxa"/>
            </w:tcMar>
          </w:tcPr>
          <w:p>
            <w:pPr>
              <w:spacing w:before="20" w:after="20" w:line="240" w:lineRule="auto"/>
              <w:jc w:val="left"/>
            </w:pPr>
            <w:r>
              <w:rPr>
                <w:color w:val="37474F"/>
                <w:sz w:val="18"/>
              </w:rPr>
              <w:t>288-bar fixed window vs volatility-scaled window (fast markets forget faster)</w:t>
            </w:r>
          </w:p>
        </w:tc>
      </w:tr>
      <w:tr>
        <w:tc>
          <w:tcPr>
            <w:tcW w:w="3000" w:type="dxa"/>
            <w:tcMar>
              <w:top w:w="60" w:type="dxa"/>
              <w:left w:w="100" w:type="dxa"/>
              <w:bottom w:w="60" w:type="dxa"/>
              <w:right w:w="100" w:type="dxa"/>
            </w:tcMar>
          </w:tcPr>
          <w:p>
            <w:pPr>
              <w:spacing w:before="20" w:after="20" w:line="240" w:lineRule="auto"/>
              <w:jc w:val="left"/>
            </w:pPr>
            <w:r>
              <w:rPr>
                <w:color w:val="37474F"/>
                <w:sz w:val="18"/>
              </w:rPr>
              <w:t>Partial-freeze in high spread</w:t>
            </w:r>
          </w:p>
        </w:tc>
        <w:tc>
          <w:tcPr>
            <w:tcW w:w="6300" w:type="dxa"/>
            <w:tcMar>
              <w:top w:w="60" w:type="dxa"/>
              <w:left w:w="100" w:type="dxa"/>
              <w:bottom w:w="60" w:type="dxa"/>
              <w:right w:w="100" w:type="dxa"/>
            </w:tcMar>
          </w:tcPr>
          <w:p>
            <w:pPr>
              <w:spacing w:before="20" w:after="20" w:line="240" w:lineRule="auto"/>
              <w:jc w:val="left"/>
            </w:pPr>
            <w:r>
              <w:rPr>
                <w:color w:val="37474F"/>
                <w:sz w:val="18"/>
              </w:rPr>
              <w:t>Widen partials when spread is elevated rather than skipping entries entirely</w:t>
            </w:r>
          </w:p>
        </w:tc>
      </w:tr>
    </w:tbl>
    <w:p>
      <w:r>
        <w:t>Explicitly NOT queued: parameter re-optimisation of weights/thresholds against historical data — that path is overfitting, and this architecture treats it as a defect, not a feature.</w:t>
      </w:r>
    </w:p>
    <w:p>
      <w:pPr>
        <w:pStyle w:val="Heading1"/>
      </w:pPr>
      <w:r>
        <w:t>20. DEVELOPMENT &amp; GO-LIVE PROTOCOL</w:t>
      </w:r>
      <w:bookmarkStart w:name="_T22" w:id="22"/>
      <w:bookmarkEnd w:id="22"/>
    </w:p>
    <w:p>
      <w:pPr>
        <w:pStyle w:val="Heading2"/>
      </w:pPr>
      <w:r>
        <w:t>20.1 Build Order</w:t>
      </w:r>
    </w:p>
    <w:p>
      <w:pPr>
        <w:numPr>
          <w:ilvl w:val="0"/>
          <w:numId w:val="1"/>
        </w:numPr>
      </w:pPr>
      <w:r>
        <w:rPr>
          <w:b/>
        </w:rPr>
        <w:t>Compile gate — </w:t>
      </w:r>
      <w:r>
        <w:t>MetaEditor F7 on EA and indicator: 0 errors required; every warning triaged and documented.</w:t>
      </w:r>
    </w:p>
    <w:p>
      <w:pPr>
        <w:numPr>
          <w:ilvl w:val="0"/>
          <w:numId w:val="1"/>
        </w:numPr>
      </w:pPr>
      <w:r>
        <w:rPr>
          <w:b/>
        </w:rPr>
        <w:t>Unit smoke — </w:t>
      </w:r>
      <w:r>
        <w:t>Attach to demo NAS100 chart: dashboard populates within 2 bars; all modules report valid; book tier shows DOM/SYNTH/TAPE correctly for the broker.</w:t>
      </w:r>
    </w:p>
    <w:p>
      <w:pPr>
        <w:numPr>
          <w:ilvl w:val="0"/>
          <w:numId w:val="1"/>
        </w:numPr>
      </w:pPr>
      <w:r>
        <w:rPr>
          <w:b/>
        </w:rPr>
        <w:t>Real-ticks backtest — </w:t>
      </w:r>
      <w:r>
        <w:t>Strategy Tester, "Every tick based on real ticks", 12+ months spanning trend, chop and a volatility shock; judge on profit factor &gt;= 1.6, max DD &lt; 8%, recovery factor &gt;= 3.</w:t>
      </w:r>
    </w:p>
    <w:p>
      <w:pPr>
        <w:numPr>
          <w:ilvl w:val="0"/>
          <w:numId w:val="1"/>
        </w:numPr>
      </w:pPr>
      <w:r>
        <w:rPr>
          <w:b/>
        </w:rPr>
        <w:t>Demo forward test — </w:t>
      </w:r>
      <w:r>
        <w:t>4–8 weeks on demo with the prop preset; verify signals, relay files, halts, persistence across restarts.</w:t>
      </w:r>
    </w:p>
    <w:p>
      <w:pPr>
        <w:numPr>
          <w:ilvl w:val="0"/>
          <w:numId w:val="1"/>
        </w:numPr>
      </w:pPr>
      <w:r>
        <w:rPr>
          <w:b/>
        </w:rPr>
        <w:t>Prop deployment — </w:t>
      </w:r>
      <w:r>
        <w:t>Start on evaluation account at 0.35% risk; scale only after one full payout cycle is rule-clean.</w:t>
      </w:r>
    </w:p>
    <w:p>
      <w:pPr>
        <w:pStyle w:val="Heading2"/>
      </w:pPr>
      <w:r>
        <w:t>20.2 Go/No-Go Criteria</w:t>
      </w:r>
    </w:p>
    <w:tbl>
      <w:tblPr>
        <w:tblW w:w="5000" w:type="pct"/>
        <w:tblBorders>
          <w:top w:val="single" w:color="B8860B" w:sz="12"/>
          <w:bottom w:val="single" w:color="B8860B" w:sz="12"/>
          <w:insideH w:val="single" w:color="CFD8DC" w:sz="4"/>
          <w:insideV w:val="single" w:color="CFD8DC" w:sz="4"/>
        </w:tblBorders>
      </w:tblPr>
      <w:tblGrid>
        <w:gridCol w:w="3000"/>
        <w:gridCol w:w="6300"/>
      </w:tblGrid>
      <w:tr>
        <w:trPr>
          <w:tblHeader/>
        </w:trPr>
        <w:tc>
          <w:tcPr>
            <w:tcW w:w="3000" w:type="dxa"/>
            <w:shd w:val="clear" w:fill="ECEFF1"/>
            <w:tcMar>
              <w:top w:w="60" w:type="dxa"/>
              <w:left w:w="100" w:type="dxa"/>
              <w:bottom w:w="60" w:type="dxa"/>
              <w:right w:w="100" w:type="dxa"/>
            </w:tcMar>
          </w:tcPr>
          <w:p>
            <w:pPr>
              <w:spacing w:before="20" w:after="20" w:line="240" w:lineRule="auto"/>
              <w:jc w:val="left"/>
            </w:pPr>
            <w:r>
              <w:rPr>
                <w:b/>
                <w:color w:val="263238"/>
                <w:sz w:val="18"/>
              </w:rPr>
              <w:t>GATE</w:t>
            </w:r>
          </w:p>
        </w:tc>
        <w:tc>
          <w:tcPr>
            <w:tcW w:w="6300" w:type="dxa"/>
            <w:shd w:val="clear" w:fill="ECEFF1"/>
            <w:tcMar>
              <w:top w:w="60" w:type="dxa"/>
              <w:left w:w="100" w:type="dxa"/>
              <w:bottom w:w="60" w:type="dxa"/>
              <w:right w:w="100" w:type="dxa"/>
            </w:tcMar>
          </w:tcPr>
          <w:p>
            <w:pPr>
              <w:spacing w:before="20" w:after="20" w:line="240" w:lineRule="auto"/>
              <w:jc w:val="left"/>
            </w:pPr>
            <w:r>
              <w:rPr>
                <w:b/>
                <w:color w:val="263238"/>
                <w:sz w:val="18"/>
              </w:rPr>
              <w:t>PASS CONDITION</w:t>
            </w:r>
          </w:p>
        </w:tc>
      </w:tr>
      <w:tr>
        <w:tc>
          <w:tcPr>
            <w:tcW w:w="3000" w:type="dxa"/>
            <w:tcMar>
              <w:top w:w="60" w:type="dxa"/>
              <w:left w:w="100" w:type="dxa"/>
              <w:bottom w:w="60" w:type="dxa"/>
              <w:right w:w="100" w:type="dxa"/>
            </w:tcMar>
          </w:tcPr>
          <w:p>
            <w:pPr>
              <w:spacing w:before="20" w:after="20" w:line="240" w:lineRule="auto"/>
              <w:jc w:val="left"/>
            </w:pPr>
            <w:r>
              <w:rPr>
                <w:color w:val="37474F"/>
                <w:sz w:val="18"/>
              </w:rPr>
              <w:t>Compile</w:t>
            </w:r>
          </w:p>
        </w:tc>
        <w:tc>
          <w:tcPr>
            <w:tcW w:w="6300" w:type="dxa"/>
            <w:tcMar>
              <w:top w:w="60" w:type="dxa"/>
              <w:left w:w="100" w:type="dxa"/>
              <w:bottom w:w="60" w:type="dxa"/>
              <w:right w:w="100" w:type="dxa"/>
            </w:tcMar>
          </w:tcPr>
          <w:p>
            <w:pPr>
              <w:spacing w:before="20" w:after="20" w:line="240" w:lineRule="auto"/>
              <w:jc w:val="left"/>
            </w:pPr>
            <w:r>
              <w:rPr>
                <w:color w:val="37474F"/>
                <w:sz w:val="18"/>
              </w:rPr>
              <w:t>0 errors; warnings triaged</w:t>
            </w:r>
          </w:p>
        </w:tc>
      </w:tr>
      <w:tr>
        <w:tc>
          <w:tcPr>
            <w:tcW w:w="3000" w:type="dxa"/>
            <w:tcMar>
              <w:top w:w="60" w:type="dxa"/>
              <w:left w:w="100" w:type="dxa"/>
              <w:bottom w:w="60" w:type="dxa"/>
              <w:right w:w="100" w:type="dxa"/>
            </w:tcMar>
          </w:tcPr>
          <w:p>
            <w:pPr>
              <w:spacing w:before="20" w:after="20" w:line="240" w:lineRule="auto"/>
              <w:jc w:val="left"/>
            </w:pPr>
            <w:r>
              <w:rPr>
                <w:color w:val="37474F"/>
                <w:sz w:val="18"/>
              </w:rPr>
              <w:t>Backtest</w:t>
            </w:r>
          </w:p>
        </w:tc>
        <w:tc>
          <w:tcPr>
            <w:tcW w:w="6300" w:type="dxa"/>
            <w:tcMar>
              <w:top w:w="60" w:type="dxa"/>
              <w:left w:w="100" w:type="dxa"/>
              <w:bottom w:w="60" w:type="dxa"/>
              <w:right w:w="100" w:type="dxa"/>
            </w:tcMar>
          </w:tcPr>
          <w:p>
            <w:pPr>
              <w:spacing w:before="20" w:after="20" w:line="240" w:lineRule="auto"/>
              <w:jc w:val="left"/>
            </w:pPr>
            <w:r>
              <w:rPr>
                <w:color w:val="37474F"/>
                <w:sz w:val="18"/>
              </w:rPr>
              <w:t>PF &gt;= 1.6, maxDD &lt; 8%, no single-month loss &gt; 5%</w:t>
            </w:r>
          </w:p>
        </w:tc>
      </w:tr>
      <w:tr>
        <w:tc>
          <w:tcPr>
            <w:tcW w:w="3000" w:type="dxa"/>
            <w:tcMar>
              <w:top w:w="60" w:type="dxa"/>
              <w:left w:w="100" w:type="dxa"/>
              <w:bottom w:w="60" w:type="dxa"/>
              <w:right w:w="100" w:type="dxa"/>
            </w:tcMar>
          </w:tcPr>
          <w:p>
            <w:pPr>
              <w:spacing w:before="20" w:after="20" w:line="240" w:lineRule="auto"/>
              <w:jc w:val="left"/>
            </w:pPr>
            <w:r>
              <w:rPr>
                <w:color w:val="37474F"/>
                <w:sz w:val="18"/>
              </w:rPr>
              <w:t>Demo</w:t>
            </w:r>
          </w:p>
        </w:tc>
        <w:tc>
          <w:tcPr>
            <w:tcW w:w="6300" w:type="dxa"/>
            <w:tcMar>
              <w:top w:w="60" w:type="dxa"/>
              <w:left w:w="100" w:type="dxa"/>
              <w:bottom w:w="60" w:type="dxa"/>
              <w:right w:w="100" w:type="dxa"/>
            </w:tcMar>
          </w:tcPr>
          <w:p>
            <w:pPr>
              <w:spacing w:before="20" w:after="20" w:line="240" w:lineRule="auto"/>
              <w:jc w:val="left"/>
            </w:pPr>
            <w:r>
              <w:rPr>
                <w:color w:val="37474F"/>
                <w:sz w:val="18"/>
              </w:rPr>
              <w:t>relay JSON matches chart trades 1:1; halts fire correctly; zero rule breaches</w:t>
            </w:r>
          </w:p>
        </w:tc>
      </w:tr>
      <w:tr>
        <w:tc>
          <w:tcPr>
            <w:tcW w:w="3000" w:type="dxa"/>
            <w:tcMar>
              <w:top w:w="60" w:type="dxa"/>
              <w:left w:w="100" w:type="dxa"/>
              <w:bottom w:w="60" w:type="dxa"/>
              <w:right w:w="100" w:type="dxa"/>
            </w:tcMar>
          </w:tcPr>
          <w:p>
            <w:pPr>
              <w:spacing w:before="20" w:after="20" w:line="240" w:lineRule="auto"/>
              <w:jc w:val="left"/>
            </w:pPr>
            <w:r>
              <w:rPr>
                <w:color w:val="37474F"/>
                <w:sz w:val="18"/>
              </w:rPr>
              <w:t>Prop</w:t>
            </w:r>
          </w:p>
        </w:tc>
        <w:tc>
          <w:tcPr>
            <w:tcW w:w="6300" w:type="dxa"/>
            <w:tcMar>
              <w:top w:w="60" w:type="dxa"/>
              <w:left w:w="100" w:type="dxa"/>
              <w:bottom w:w="60" w:type="dxa"/>
              <w:right w:w="100" w:type="dxa"/>
            </w:tcMar>
          </w:tcPr>
          <w:p>
            <w:pPr>
              <w:spacing w:before="20" w:after="20" w:line="240" w:lineRule="auto"/>
              <w:jc w:val="left"/>
            </w:pPr>
            <w:r>
              <w:rPr>
                <w:color w:val="37474F"/>
                <w:sz w:val="18"/>
              </w:rPr>
              <w:t>2+ weeks rule-clean on evaluation before any size increase</w:t>
            </w:r>
          </w:p>
        </w:tc>
      </w:tr>
    </w:tbl>
    <w:p>
      <w:r>
        <w:t>Failure at any gate returns to the previous gate with the research protocol of Section 19 — never with live capital.</w:t>
      </w:r>
    </w:p>
    <w:p>
      <w:pPr>
        <w:pStyle w:val="Heading1"/>
      </w:pPr>
      <w:r>
        <w:t>APPENDIX A — INPUT PARAMETER REFERENCE</w:t>
      </w:r>
      <w:bookmarkStart w:name="_T23" w:id="23"/>
      <w:bookmarkEnd w:id="23"/>
    </w:p>
    <w:tbl>
      <w:tblPr>
        <w:tblW w:w="5000" w:type="pct"/>
        <w:tblBorders>
          <w:top w:val="single" w:color="B8860B" w:sz="12"/>
          <w:bottom w:val="single" w:color="B8860B" w:sz="12"/>
          <w:insideH w:val="single" w:color="CFD8DC" w:sz="4"/>
          <w:insideV w:val="single" w:color="CFD8DC" w:sz="4"/>
        </w:tblBorders>
      </w:tblPr>
      <w:tblGrid>
        <w:gridCol w:w="3000"/>
        <w:gridCol w:w="1400"/>
        <w:gridCol w:w="4900"/>
      </w:tblGrid>
      <w:tr>
        <w:trPr>
          <w:tblHeader/>
        </w:trPr>
        <w:tc>
          <w:tcPr>
            <w:tcW w:w="3000" w:type="dxa"/>
            <w:shd w:val="clear" w:fill="ECEFF1"/>
            <w:tcMar>
              <w:top w:w="60" w:type="dxa"/>
              <w:left w:w="100" w:type="dxa"/>
              <w:bottom w:w="60" w:type="dxa"/>
              <w:right w:w="100" w:type="dxa"/>
            </w:tcMar>
          </w:tcPr>
          <w:p>
            <w:pPr>
              <w:spacing w:before="20" w:after="20" w:line="240" w:lineRule="auto"/>
              <w:jc w:val="left"/>
            </w:pPr>
            <w:r>
              <w:rPr>
                <w:b/>
                <w:color w:val="263238"/>
                <w:sz w:val="18"/>
              </w:rPr>
              <w:t>INPUT</w:t>
            </w:r>
          </w:p>
        </w:tc>
        <w:tc>
          <w:tcPr>
            <w:tcW w:w="1400" w:type="dxa"/>
            <w:shd w:val="clear" w:fill="ECEFF1"/>
            <w:tcMar>
              <w:top w:w="60" w:type="dxa"/>
              <w:left w:w="100" w:type="dxa"/>
              <w:bottom w:w="60" w:type="dxa"/>
              <w:right w:w="100" w:type="dxa"/>
            </w:tcMar>
          </w:tcPr>
          <w:p>
            <w:pPr>
              <w:spacing w:before="20" w:after="20" w:line="240" w:lineRule="auto"/>
              <w:jc w:val="left"/>
            </w:pPr>
            <w:r>
              <w:rPr>
                <w:b/>
                <w:color w:val="263238"/>
                <w:sz w:val="18"/>
              </w:rPr>
              <w:t>DEFAULT</w:t>
            </w:r>
          </w:p>
        </w:tc>
        <w:tc>
          <w:tcPr>
            <w:tcW w:w="4900" w:type="dxa"/>
            <w:shd w:val="clear" w:fill="ECEFF1"/>
            <w:tcMar>
              <w:top w:w="60" w:type="dxa"/>
              <w:left w:w="100" w:type="dxa"/>
              <w:bottom w:w="60" w:type="dxa"/>
              <w:right w:w="100" w:type="dxa"/>
            </w:tcMar>
          </w:tcPr>
          <w:p>
            <w:pPr>
              <w:spacing w:before="20" w:after="20" w:line="240" w:lineRule="auto"/>
              <w:jc w:val="left"/>
            </w:pPr>
            <w:r>
              <w:rPr>
                <w:b/>
                <w:color w:val="263238"/>
                <w:sz w:val="18"/>
              </w:rPr>
              <w:t>MEANING</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InpMode</w:t>
            </w:r>
          </w:p>
        </w:tc>
        <w:tc>
          <w:tcPr>
            <w:tcW w:w="1400" w:type="dxa"/>
            <w:tcMar>
              <w:top w:w="60" w:type="dxa"/>
              <w:left w:w="100" w:type="dxa"/>
              <w:bottom w:w="60" w:type="dxa"/>
              <w:right w:w="100" w:type="dxa"/>
            </w:tcMar>
          </w:tcPr>
          <w:p>
            <w:pPr>
              <w:spacing w:before="20" w:after="20" w:line="240" w:lineRule="auto"/>
              <w:jc w:val="left"/>
            </w:pPr>
            <w:r>
              <w:rPr>
                <w:color w:val="37474F"/>
                <w:sz w:val="18"/>
              </w:rPr>
              <w:t>2 (BOTH)</w:t>
            </w:r>
          </w:p>
        </w:tc>
        <w:tc>
          <w:tcPr>
            <w:tcW w:w="4900" w:type="dxa"/>
            <w:tcMar>
              <w:top w:w="60" w:type="dxa"/>
              <w:left w:w="100" w:type="dxa"/>
              <w:bottom w:w="60" w:type="dxa"/>
              <w:right w:w="100" w:type="dxa"/>
            </w:tcMar>
          </w:tcPr>
          <w:p>
            <w:pPr>
              <w:spacing w:before="20" w:after="20" w:line="240" w:lineRule="auto"/>
              <w:jc w:val="left"/>
            </w:pPr>
            <w:r>
              <w:rPr>
                <w:color w:val="37474F"/>
                <w:sz w:val="18"/>
              </w:rPr>
              <w:t>0=auto trade, 1=signals only, 2=both</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InpMagicNumber</w:t>
            </w:r>
          </w:p>
        </w:tc>
        <w:tc>
          <w:tcPr>
            <w:tcW w:w="1400" w:type="dxa"/>
            <w:tcMar>
              <w:top w:w="60" w:type="dxa"/>
              <w:left w:w="100" w:type="dxa"/>
              <w:bottom w:w="60" w:type="dxa"/>
              <w:right w:w="100" w:type="dxa"/>
            </w:tcMar>
          </w:tcPr>
          <w:p>
            <w:pPr>
              <w:spacing w:before="20" w:after="20" w:line="240" w:lineRule="auto"/>
              <w:jc w:val="left"/>
            </w:pPr>
            <w:r>
              <w:rPr>
                <w:color w:val="37474F"/>
                <w:sz w:val="18"/>
              </w:rPr>
              <w:t>260731</w:t>
            </w:r>
          </w:p>
        </w:tc>
        <w:tc>
          <w:tcPr>
            <w:tcW w:w="4900" w:type="dxa"/>
            <w:tcMar>
              <w:top w:w="60" w:type="dxa"/>
              <w:left w:w="100" w:type="dxa"/>
              <w:bottom w:w="60" w:type="dxa"/>
              <w:right w:w="100" w:type="dxa"/>
            </w:tcMar>
          </w:tcPr>
          <w:p>
            <w:pPr>
              <w:spacing w:before="20" w:after="20" w:line="240" w:lineRule="auto"/>
              <w:jc w:val="left"/>
            </w:pPr>
            <w:r>
              <w:rPr>
                <w:color w:val="37474F"/>
                <w:sz w:val="18"/>
              </w:rPr>
              <w:t>order/position ownership tag</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InpAnalysisTF</w:t>
            </w:r>
          </w:p>
        </w:tc>
        <w:tc>
          <w:tcPr>
            <w:tcW w:w="1400" w:type="dxa"/>
            <w:tcMar>
              <w:top w:w="60" w:type="dxa"/>
              <w:left w:w="100" w:type="dxa"/>
              <w:bottom w:w="60" w:type="dxa"/>
              <w:right w:w="100" w:type="dxa"/>
            </w:tcMar>
          </w:tcPr>
          <w:p>
            <w:pPr>
              <w:spacing w:before="20" w:after="20" w:line="240" w:lineRule="auto"/>
              <w:jc w:val="left"/>
            </w:pPr>
            <w:r>
              <w:rPr>
                <w:color w:val="37474F"/>
                <w:sz w:val="18"/>
              </w:rPr>
              <w:t>M5</w:t>
            </w:r>
          </w:p>
        </w:tc>
        <w:tc>
          <w:tcPr>
            <w:tcW w:w="4900" w:type="dxa"/>
            <w:tcMar>
              <w:top w:w="60" w:type="dxa"/>
              <w:left w:w="100" w:type="dxa"/>
              <w:bottom w:w="60" w:type="dxa"/>
              <w:right w:w="100" w:type="dxa"/>
            </w:tcMar>
          </w:tcPr>
          <w:p>
            <w:pPr>
              <w:spacing w:before="20" w:after="20" w:line="240" w:lineRule="auto"/>
              <w:jc w:val="left"/>
            </w:pPr>
            <w:r>
              <w:rPr>
                <w:color w:val="37474F"/>
                <w:sz w:val="18"/>
              </w:rPr>
              <w:t>analysis timeframe for all modules</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InpMaxSlippagePoints</w:t>
            </w:r>
          </w:p>
        </w:tc>
        <w:tc>
          <w:tcPr>
            <w:tcW w:w="1400" w:type="dxa"/>
            <w:tcMar>
              <w:top w:w="60" w:type="dxa"/>
              <w:left w:w="100" w:type="dxa"/>
              <w:bottom w:w="60" w:type="dxa"/>
              <w:right w:w="100" w:type="dxa"/>
            </w:tcMar>
          </w:tcPr>
          <w:p>
            <w:pPr>
              <w:spacing w:before="20" w:after="20" w:line="240" w:lineRule="auto"/>
              <w:jc w:val="left"/>
            </w:pPr>
            <w:r>
              <w:rPr>
                <w:color w:val="37474F"/>
                <w:sz w:val="18"/>
              </w:rPr>
              <w:t>30</w:t>
            </w:r>
          </w:p>
        </w:tc>
        <w:tc>
          <w:tcPr>
            <w:tcW w:w="4900" w:type="dxa"/>
            <w:tcMar>
              <w:top w:w="60" w:type="dxa"/>
              <w:left w:w="100" w:type="dxa"/>
              <w:bottom w:w="60" w:type="dxa"/>
              <w:right w:w="100" w:type="dxa"/>
            </w:tcMar>
          </w:tcPr>
          <w:p>
            <w:pPr>
              <w:spacing w:before="20" w:after="20" w:line="240" w:lineRule="auto"/>
              <w:jc w:val="left"/>
            </w:pPr>
            <w:r>
              <w:rPr>
                <w:color w:val="37474F"/>
                <w:sz w:val="18"/>
              </w:rPr>
              <w:t>max order deviation</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InpPropFirmMode</w:t>
            </w:r>
          </w:p>
        </w:tc>
        <w:tc>
          <w:tcPr>
            <w:tcW w:w="1400" w:type="dxa"/>
            <w:tcMar>
              <w:top w:w="60" w:type="dxa"/>
              <w:left w:w="100" w:type="dxa"/>
              <w:bottom w:w="60" w:type="dxa"/>
              <w:right w:w="100" w:type="dxa"/>
            </w:tcMar>
          </w:tcPr>
          <w:p>
            <w:pPr>
              <w:spacing w:before="20" w:after="20" w:line="240" w:lineRule="auto"/>
              <w:jc w:val="left"/>
            </w:pPr>
            <w:r>
              <w:rPr>
                <w:color w:val="37474F"/>
                <w:sz w:val="18"/>
              </w:rPr>
              <w:t>false</w:t>
            </w:r>
          </w:p>
        </w:tc>
        <w:tc>
          <w:tcPr>
            <w:tcW w:w="4900" w:type="dxa"/>
            <w:tcMar>
              <w:top w:w="60" w:type="dxa"/>
              <w:left w:w="100" w:type="dxa"/>
              <w:bottom w:w="60" w:type="dxa"/>
              <w:right w:w="100" w:type="dxa"/>
            </w:tcMar>
          </w:tcPr>
          <w:p>
            <w:pPr>
              <w:spacing w:before="20" w:after="20" w:line="240" w:lineRule="auto"/>
              <w:jc w:val="left"/>
            </w:pPr>
            <w:r>
              <w:rPr>
                <w:color w:val="37474F"/>
                <w:sz w:val="18"/>
              </w:rPr>
              <w:t>enables consistency cap + prop interpretation</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InpRiskPerTradePct</w:t>
            </w:r>
          </w:p>
        </w:tc>
        <w:tc>
          <w:tcPr>
            <w:tcW w:w="1400" w:type="dxa"/>
            <w:tcMar>
              <w:top w:w="60" w:type="dxa"/>
              <w:left w:w="100" w:type="dxa"/>
              <w:bottom w:w="60" w:type="dxa"/>
              <w:right w:w="100" w:type="dxa"/>
            </w:tcMar>
          </w:tcPr>
          <w:p>
            <w:pPr>
              <w:spacing w:before="20" w:after="20" w:line="240" w:lineRule="auto"/>
              <w:jc w:val="left"/>
            </w:pPr>
            <w:r>
              <w:rPr>
                <w:color w:val="37474F"/>
                <w:sz w:val="18"/>
              </w:rPr>
              <w:t>0.5</w:t>
            </w:r>
          </w:p>
        </w:tc>
        <w:tc>
          <w:tcPr>
            <w:tcW w:w="4900" w:type="dxa"/>
            <w:tcMar>
              <w:top w:w="60" w:type="dxa"/>
              <w:left w:w="100" w:type="dxa"/>
              <w:bottom w:w="60" w:type="dxa"/>
              <w:right w:w="100" w:type="dxa"/>
            </w:tcMar>
          </w:tcPr>
          <w:p>
            <w:pPr>
              <w:spacing w:before="20" w:after="20" w:line="240" w:lineRule="auto"/>
              <w:jc w:val="left"/>
            </w:pPr>
            <w:r>
              <w:rPr>
                <w:color w:val="37474F"/>
                <w:sz w:val="18"/>
              </w:rPr>
              <w:t>equity fraction risked per trade</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InpMaxDailyDDPct</w:t>
            </w:r>
          </w:p>
        </w:tc>
        <w:tc>
          <w:tcPr>
            <w:tcW w:w="1400" w:type="dxa"/>
            <w:tcMar>
              <w:top w:w="60" w:type="dxa"/>
              <w:left w:w="100" w:type="dxa"/>
              <w:bottom w:w="60" w:type="dxa"/>
              <w:right w:w="100" w:type="dxa"/>
            </w:tcMar>
          </w:tcPr>
          <w:p>
            <w:pPr>
              <w:spacing w:before="20" w:after="20" w:line="240" w:lineRule="auto"/>
              <w:jc w:val="left"/>
            </w:pPr>
            <w:r>
              <w:rPr>
                <w:color w:val="37474F"/>
                <w:sz w:val="18"/>
              </w:rPr>
              <w:t>4.0</w:t>
            </w:r>
          </w:p>
        </w:tc>
        <w:tc>
          <w:tcPr>
            <w:tcW w:w="4900" w:type="dxa"/>
            <w:tcMar>
              <w:top w:w="60" w:type="dxa"/>
              <w:left w:w="100" w:type="dxa"/>
              <w:bottom w:w="60" w:type="dxa"/>
              <w:right w:w="100" w:type="dxa"/>
            </w:tcMar>
          </w:tcPr>
          <w:p>
            <w:pPr>
              <w:spacing w:before="20" w:after="20" w:line="240" w:lineRule="auto"/>
              <w:jc w:val="left"/>
            </w:pPr>
            <w:r>
              <w:rPr>
                <w:color w:val="37474F"/>
                <w:sz w:val="18"/>
              </w:rPr>
              <w:t>daily loss limit (halt at 90%)</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InpMaxOverallDDPct</w:t>
            </w:r>
          </w:p>
        </w:tc>
        <w:tc>
          <w:tcPr>
            <w:tcW w:w="1400" w:type="dxa"/>
            <w:tcMar>
              <w:top w:w="60" w:type="dxa"/>
              <w:left w:w="100" w:type="dxa"/>
              <w:bottom w:w="60" w:type="dxa"/>
              <w:right w:w="100" w:type="dxa"/>
            </w:tcMar>
          </w:tcPr>
          <w:p>
            <w:pPr>
              <w:spacing w:before="20" w:after="20" w:line="240" w:lineRule="auto"/>
              <w:jc w:val="left"/>
            </w:pPr>
            <w:r>
              <w:rPr>
                <w:color w:val="37474F"/>
                <w:sz w:val="18"/>
              </w:rPr>
              <w:t>8.0</w:t>
            </w:r>
          </w:p>
        </w:tc>
        <w:tc>
          <w:tcPr>
            <w:tcW w:w="4900" w:type="dxa"/>
            <w:tcMar>
              <w:top w:w="60" w:type="dxa"/>
              <w:left w:w="100" w:type="dxa"/>
              <w:bottom w:w="60" w:type="dxa"/>
              <w:right w:w="100" w:type="dxa"/>
            </w:tcMar>
          </w:tcPr>
          <w:p>
            <w:pPr>
              <w:spacing w:before="20" w:after="20" w:line="240" w:lineRule="auto"/>
              <w:jc w:val="left"/>
            </w:pPr>
            <w:r>
              <w:rPr>
                <w:color w:val="37474F"/>
                <w:sz w:val="18"/>
              </w:rPr>
              <w:t>overall loss limit from baseline (halt at 90%)</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InpDailyProfitCapPct</w:t>
            </w:r>
          </w:p>
        </w:tc>
        <w:tc>
          <w:tcPr>
            <w:tcW w:w="1400" w:type="dxa"/>
            <w:tcMar>
              <w:top w:w="60" w:type="dxa"/>
              <w:left w:w="100" w:type="dxa"/>
              <w:bottom w:w="60" w:type="dxa"/>
              <w:right w:w="100" w:type="dxa"/>
            </w:tcMar>
          </w:tcPr>
          <w:p>
            <w:pPr>
              <w:spacing w:before="20" w:after="20" w:line="240" w:lineRule="auto"/>
              <w:jc w:val="left"/>
            </w:pPr>
            <w:r>
              <w:rPr>
                <w:color w:val="37474F"/>
                <w:sz w:val="18"/>
              </w:rPr>
              <w:t>2.5</w:t>
            </w:r>
          </w:p>
        </w:tc>
        <w:tc>
          <w:tcPr>
            <w:tcW w:w="4900" w:type="dxa"/>
            <w:tcMar>
              <w:top w:w="60" w:type="dxa"/>
              <w:left w:w="100" w:type="dxa"/>
              <w:bottom w:w="60" w:type="dxa"/>
              <w:right w:w="100" w:type="dxa"/>
            </w:tcMar>
          </w:tcPr>
          <w:p>
            <w:pPr>
              <w:spacing w:before="20" w:after="20" w:line="240" w:lineRule="auto"/>
              <w:jc w:val="left"/>
            </w:pPr>
            <w:r>
              <w:rPr>
                <w:color w:val="37474F"/>
                <w:sz w:val="18"/>
              </w:rPr>
              <w:t>prop consistency cap on daily profit</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InpPropBaselineBalance</w:t>
            </w:r>
          </w:p>
        </w:tc>
        <w:tc>
          <w:tcPr>
            <w:tcW w:w="1400" w:type="dxa"/>
            <w:tcMar>
              <w:top w:w="60" w:type="dxa"/>
              <w:left w:w="100" w:type="dxa"/>
              <w:bottom w:w="60" w:type="dxa"/>
              <w:right w:w="100" w:type="dxa"/>
            </w:tcMar>
          </w:tcPr>
          <w:p>
            <w:pPr>
              <w:spacing w:before="20" w:after="20" w:line="240" w:lineRule="auto"/>
              <w:jc w:val="left"/>
            </w:pPr>
            <w:r>
              <w:rPr>
                <w:color w:val="37474F"/>
                <w:sz w:val="18"/>
              </w:rPr>
              <w:t>0 (auto)</w:t>
            </w:r>
          </w:p>
        </w:tc>
        <w:tc>
          <w:tcPr>
            <w:tcW w:w="4900" w:type="dxa"/>
            <w:tcMar>
              <w:top w:w="60" w:type="dxa"/>
              <w:left w:w="100" w:type="dxa"/>
              <w:bottom w:w="60" w:type="dxa"/>
              <w:right w:w="100" w:type="dxa"/>
            </w:tcMar>
          </w:tcPr>
          <w:p>
            <w:pPr>
              <w:spacing w:before="20" w:after="20" w:line="240" w:lineRule="auto"/>
              <w:jc w:val="left"/>
            </w:pPr>
            <w:r>
              <w:rPr>
                <w:color w:val="37474F"/>
                <w:sz w:val="18"/>
              </w:rPr>
              <w:t>baseline for overall DD; 0 = first-run balance</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InpMaxTradesPerDay</w:t>
            </w:r>
          </w:p>
        </w:tc>
        <w:tc>
          <w:tcPr>
            <w:tcW w:w="1400" w:type="dxa"/>
            <w:tcMar>
              <w:top w:w="60" w:type="dxa"/>
              <w:left w:w="100" w:type="dxa"/>
              <w:bottom w:w="60" w:type="dxa"/>
              <w:right w:w="100" w:type="dxa"/>
            </w:tcMar>
          </w:tcPr>
          <w:p>
            <w:pPr>
              <w:spacing w:before="20" w:after="20" w:line="240" w:lineRule="auto"/>
              <w:jc w:val="left"/>
            </w:pPr>
            <w:r>
              <w:rPr>
                <w:color w:val="37474F"/>
                <w:sz w:val="18"/>
              </w:rPr>
              <w:t>6</w:t>
            </w:r>
          </w:p>
        </w:tc>
        <w:tc>
          <w:tcPr>
            <w:tcW w:w="4900" w:type="dxa"/>
            <w:tcMar>
              <w:top w:w="60" w:type="dxa"/>
              <w:left w:w="100" w:type="dxa"/>
              <w:bottom w:w="60" w:type="dxa"/>
              <w:right w:w="100" w:type="dxa"/>
            </w:tcMar>
          </w:tcPr>
          <w:p>
            <w:pPr>
              <w:spacing w:before="20" w:after="20" w:line="240" w:lineRule="auto"/>
              <w:jc w:val="left"/>
            </w:pPr>
            <w:r>
              <w:rPr>
                <w:color w:val="37474F"/>
                <w:sz w:val="18"/>
              </w:rPr>
              <w:t>entry frequency cap</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InpMaxConcurrent</w:t>
            </w:r>
          </w:p>
        </w:tc>
        <w:tc>
          <w:tcPr>
            <w:tcW w:w="1400" w:type="dxa"/>
            <w:tcMar>
              <w:top w:w="60" w:type="dxa"/>
              <w:left w:w="100" w:type="dxa"/>
              <w:bottom w:w="60" w:type="dxa"/>
              <w:right w:w="100" w:type="dxa"/>
            </w:tcMar>
          </w:tcPr>
          <w:p>
            <w:pPr>
              <w:spacing w:before="20" w:after="20" w:line="240" w:lineRule="auto"/>
              <w:jc w:val="left"/>
            </w:pPr>
            <w:r>
              <w:rPr>
                <w:color w:val="37474F"/>
                <w:sz w:val="18"/>
              </w:rPr>
              <w:t>1</w:t>
            </w:r>
          </w:p>
        </w:tc>
        <w:tc>
          <w:tcPr>
            <w:tcW w:w="4900" w:type="dxa"/>
            <w:tcMar>
              <w:top w:w="60" w:type="dxa"/>
              <w:left w:w="100" w:type="dxa"/>
              <w:bottom w:w="60" w:type="dxa"/>
              <w:right w:w="100" w:type="dxa"/>
            </w:tcMar>
          </w:tcPr>
          <w:p>
            <w:pPr>
              <w:spacing w:before="20" w:after="20" w:line="240" w:lineRule="auto"/>
              <w:jc w:val="left"/>
            </w:pPr>
            <w:r>
              <w:rPr>
                <w:color w:val="37474F"/>
                <w:sz w:val="18"/>
              </w:rPr>
              <w:t>simultaneous positions</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InpMaxSpreadPoints</w:t>
            </w:r>
          </w:p>
        </w:tc>
        <w:tc>
          <w:tcPr>
            <w:tcW w:w="1400" w:type="dxa"/>
            <w:tcMar>
              <w:top w:w="60" w:type="dxa"/>
              <w:left w:w="100" w:type="dxa"/>
              <w:bottom w:w="60" w:type="dxa"/>
              <w:right w:w="100" w:type="dxa"/>
            </w:tcMar>
          </w:tcPr>
          <w:p>
            <w:pPr>
              <w:spacing w:before="20" w:after="20" w:line="240" w:lineRule="auto"/>
              <w:jc w:val="left"/>
            </w:pPr>
            <w:r>
              <w:rPr>
                <w:color w:val="37474F"/>
                <w:sz w:val="18"/>
              </w:rPr>
              <w:t>120</w:t>
            </w:r>
          </w:p>
        </w:tc>
        <w:tc>
          <w:tcPr>
            <w:tcW w:w="4900" w:type="dxa"/>
            <w:tcMar>
              <w:top w:w="60" w:type="dxa"/>
              <w:left w:w="100" w:type="dxa"/>
              <w:bottom w:w="60" w:type="dxa"/>
              <w:right w:w="100" w:type="dxa"/>
            </w:tcMar>
          </w:tcPr>
          <w:p>
            <w:pPr>
              <w:spacing w:before="20" w:after="20" w:line="240" w:lineRule="auto"/>
              <w:jc w:val="left"/>
            </w:pPr>
            <w:r>
              <w:rPr>
                <w:color w:val="37474F"/>
                <w:sz w:val="18"/>
              </w:rPr>
              <w:t>spread gate (symbol points)</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InpGMTOffset</w:t>
            </w:r>
          </w:p>
        </w:tc>
        <w:tc>
          <w:tcPr>
            <w:tcW w:w="1400" w:type="dxa"/>
            <w:tcMar>
              <w:top w:w="60" w:type="dxa"/>
              <w:left w:w="100" w:type="dxa"/>
              <w:bottom w:w="60" w:type="dxa"/>
              <w:right w:w="100" w:type="dxa"/>
            </w:tcMar>
          </w:tcPr>
          <w:p>
            <w:pPr>
              <w:spacing w:before="20" w:after="20" w:line="240" w:lineRule="auto"/>
              <w:jc w:val="left"/>
            </w:pPr>
            <w:r>
              <w:rPr>
                <w:color w:val="37474F"/>
                <w:sz w:val="18"/>
              </w:rPr>
              <w:t>2</w:t>
            </w:r>
          </w:p>
        </w:tc>
        <w:tc>
          <w:tcPr>
            <w:tcW w:w="4900" w:type="dxa"/>
            <w:tcMar>
              <w:top w:w="60" w:type="dxa"/>
              <w:left w:w="100" w:type="dxa"/>
              <w:bottom w:w="60" w:type="dxa"/>
              <w:right w:w="100" w:type="dxa"/>
            </w:tcMar>
          </w:tcPr>
          <w:p>
            <w:pPr>
              <w:spacing w:before="20" w:after="20" w:line="240" w:lineRule="auto"/>
              <w:jc w:val="left"/>
            </w:pPr>
            <w:r>
              <w:rPr>
                <w:color w:val="37474F"/>
                <w:sz w:val="18"/>
              </w:rPr>
              <w:t>server-&gt;GMT hours (2 EET winter / 3 summer)</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InpTradeAsia/London/NewYork</w:t>
            </w:r>
          </w:p>
        </w:tc>
        <w:tc>
          <w:tcPr>
            <w:tcW w:w="1400" w:type="dxa"/>
            <w:tcMar>
              <w:top w:w="60" w:type="dxa"/>
              <w:left w:w="100" w:type="dxa"/>
              <w:bottom w:w="60" w:type="dxa"/>
              <w:right w:w="100" w:type="dxa"/>
            </w:tcMar>
          </w:tcPr>
          <w:p>
            <w:pPr>
              <w:spacing w:before="20" w:after="20" w:line="240" w:lineRule="auto"/>
              <w:jc w:val="left"/>
            </w:pPr>
            <w:r>
              <w:rPr>
                <w:color w:val="37474F"/>
                <w:sz w:val="18"/>
              </w:rPr>
              <w:t>false/true/true</w:t>
            </w:r>
          </w:p>
        </w:tc>
        <w:tc>
          <w:tcPr>
            <w:tcW w:w="4900" w:type="dxa"/>
            <w:tcMar>
              <w:top w:w="60" w:type="dxa"/>
              <w:left w:w="100" w:type="dxa"/>
              <w:bottom w:w="60" w:type="dxa"/>
              <w:right w:w="100" w:type="dxa"/>
            </w:tcMar>
          </w:tcPr>
          <w:p>
            <w:pPr>
              <w:spacing w:before="20" w:after="20" w:line="240" w:lineRule="auto"/>
              <w:jc w:val="left"/>
            </w:pPr>
            <w:r>
              <w:rPr>
                <w:color w:val="37474F"/>
                <w:sz w:val="18"/>
              </w:rPr>
              <w:t>session permissions</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InpFridayCutoffHour</w:t>
            </w:r>
          </w:p>
        </w:tc>
        <w:tc>
          <w:tcPr>
            <w:tcW w:w="1400" w:type="dxa"/>
            <w:tcMar>
              <w:top w:w="60" w:type="dxa"/>
              <w:left w:w="100" w:type="dxa"/>
              <w:bottom w:w="60" w:type="dxa"/>
              <w:right w:w="100" w:type="dxa"/>
            </w:tcMar>
          </w:tcPr>
          <w:p>
            <w:pPr>
              <w:spacing w:before="20" w:after="20" w:line="240" w:lineRule="auto"/>
              <w:jc w:val="left"/>
            </w:pPr>
            <w:r>
              <w:rPr>
                <w:color w:val="37474F"/>
                <w:sz w:val="18"/>
              </w:rPr>
              <w:t>20</w:t>
            </w:r>
          </w:p>
        </w:tc>
        <w:tc>
          <w:tcPr>
            <w:tcW w:w="4900" w:type="dxa"/>
            <w:tcMar>
              <w:top w:w="60" w:type="dxa"/>
              <w:left w:w="100" w:type="dxa"/>
              <w:bottom w:w="60" w:type="dxa"/>
              <w:right w:w="100" w:type="dxa"/>
            </w:tcMar>
          </w:tcPr>
          <w:p>
            <w:pPr>
              <w:spacing w:before="20" w:after="20" w:line="240" w:lineRule="auto"/>
              <w:jc w:val="left"/>
            </w:pPr>
            <w:r>
              <w:rPr>
                <w:color w:val="37474F"/>
                <w:sz w:val="18"/>
              </w:rPr>
              <w:t>last Friday entry hour (server)</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InpNewsWindowsCSV</w:t>
            </w:r>
          </w:p>
        </w:tc>
        <w:tc>
          <w:tcPr>
            <w:tcW w:w="1400" w:type="dxa"/>
            <w:tcMar>
              <w:top w:w="60" w:type="dxa"/>
              <w:left w:w="100" w:type="dxa"/>
              <w:bottom w:w="60" w:type="dxa"/>
              <w:right w:w="100" w:type="dxa"/>
            </w:tcMar>
          </w:tcPr>
          <w:p>
            <w:pPr>
              <w:spacing w:before="20" w:after="20" w:line="240" w:lineRule="auto"/>
              <w:jc w:val="left"/>
            </w:pPr>
            <w:r>
              <w:rPr>
                <w:color w:val="37474F"/>
                <w:sz w:val="18"/>
              </w:rPr>
              <w:t>13:30-13:45;15:00-15:10</w:t>
            </w:r>
          </w:p>
        </w:tc>
        <w:tc>
          <w:tcPr>
            <w:tcW w:w="4900" w:type="dxa"/>
            <w:tcMar>
              <w:top w:w="60" w:type="dxa"/>
              <w:left w:w="100" w:type="dxa"/>
              <w:bottom w:w="60" w:type="dxa"/>
              <w:right w:w="100" w:type="dxa"/>
            </w:tcMar>
          </w:tcPr>
          <w:p>
            <w:pPr>
              <w:spacing w:before="20" w:after="20" w:line="240" w:lineRule="auto"/>
              <w:jc w:val="left"/>
            </w:pPr>
            <w:r>
              <w:rPr>
                <w:color w:val="37474F"/>
                <w:sz w:val="18"/>
              </w:rPr>
              <w:t>server-time blackout windows</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InpSLMinATR / InpSLMaxATR</w:t>
            </w:r>
          </w:p>
        </w:tc>
        <w:tc>
          <w:tcPr>
            <w:tcW w:w="1400" w:type="dxa"/>
            <w:tcMar>
              <w:top w:w="60" w:type="dxa"/>
              <w:left w:w="100" w:type="dxa"/>
              <w:bottom w:w="60" w:type="dxa"/>
              <w:right w:w="100" w:type="dxa"/>
            </w:tcMar>
          </w:tcPr>
          <w:p>
            <w:pPr>
              <w:spacing w:before="20" w:after="20" w:line="240" w:lineRule="auto"/>
              <w:jc w:val="left"/>
            </w:pPr>
            <w:r>
              <w:rPr>
                <w:color w:val="37474F"/>
                <w:sz w:val="18"/>
              </w:rPr>
              <w:t>0.8 / 2.2</w:t>
            </w:r>
          </w:p>
        </w:tc>
        <w:tc>
          <w:tcPr>
            <w:tcW w:w="4900" w:type="dxa"/>
            <w:tcMar>
              <w:top w:w="60" w:type="dxa"/>
              <w:left w:w="100" w:type="dxa"/>
              <w:bottom w:w="60" w:type="dxa"/>
              <w:right w:w="100" w:type="dxa"/>
            </w:tcMar>
          </w:tcPr>
          <w:p>
            <w:pPr>
              <w:spacing w:before="20" w:after="20" w:line="240" w:lineRule="auto"/>
              <w:jc w:val="left"/>
            </w:pPr>
            <w:r>
              <w:rPr>
                <w:color w:val="37474F"/>
                <w:sz w:val="18"/>
              </w:rPr>
              <w:t>stop-distance clamp in ATR</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InpRR1 / RR2 / RR3</w:t>
            </w:r>
          </w:p>
        </w:tc>
        <w:tc>
          <w:tcPr>
            <w:tcW w:w="1400" w:type="dxa"/>
            <w:tcMar>
              <w:top w:w="60" w:type="dxa"/>
              <w:left w:w="100" w:type="dxa"/>
              <w:bottom w:w="60" w:type="dxa"/>
              <w:right w:w="100" w:type="dxa"/>
            </w:tcMar>
          </w:tcPr>
          <w:p>
            <w:pPr>
              <w:spacing w:before="20" w:after="20" w:line="240" w:lineRule="auto"/>
              <w:jc w:val="left"/>
            </w:pPr>
            <w:r>
              <w:rPr>
                <w:color w:val="37474F"/>
                <w:sz w:val="18"/>
              </w:rPr>
              <w:t>1 / 2 / 3</w:t>
            </w:r>
          </w:p>
        </w:tc>
        <w:tc>
          <w:tcPr>
            <w:tcW w:w="4900" w:type="dxa"/>
            <w:tcMar>
              <w:top w:w="60" w:type="dxa"/>
              <w:left w:w="100" w:type="dxa"/>
              <w:bottom w:w="60" w:type="dxa"/>
              <w:right w:w="100" w:type="dxa"/>
            </w:tcMar>
          </w:tcPr>
          <w:p>
            <w:pPr>
              <w:spacing w:before="20" w:after="20" w:line="240" w:lineRule="auto"/>
              <w:jc w:val="left"/>
            </w:pPr>
            <w:r>
              <w:rPr>
                <w:color w:val="37474F"/>
                <w:sz w:val="18"/>
              </w:rPr>
              <w:t>target multiples of stop distance</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InpTP1ClosePct / TP2ClosePct</w:t>
            </w:r>
          </w:p>
        </w:tc>
        <w:tc>
          <w:tcPr>
            <w:tcW w:w="1400" w:type="dxa"/>
            <w:tcMar>
              <w:top w:w="60" w:type="dxa"/>
              <w:left w:w="100" w:type="dxa"/>
              <w:bottom w:w="60" w:type="dxa"/>
              <w:right w:w="100" w:type="dxa"/>
            </w:tcMar>
          </w:tcPr>
          <w:p>
            <w:pPr>
              <w:spacing w:before="20" w:after="20" w:line="240" w:lineRule="auto"/>
              <w:jc w:val="left"/>
            </w:pPr>
            <w:r>
              <w:rPr>
                <w:color w:val="37474F"/>
                <w:sz w:val="18"/>
              </w:rPr>
              <w:t>0.5 / 0.3</w:t>
            </w:r>
          </w:p>
        </w:tc>
        <w:tc>
          <w:tcPr>
            <w:tcW w:w="4900" w:type="dxa"/>
            <w:tcMar>
              <w:top w:w="60" w:type="dxa"/>
              <w:left w:w="100" w:type="dxa"/>
              <w:bottom w:w="60" w:type="dxa"/>
              <w:right w:w="100" w:type="dxa"/>
            </w:tcMar>
          </w:tcPr>
          <w:p>
            <w:pPr>
              <w:spacing w:before="20" w:after="20" w:line="240" w:lineRule="auto"/>
              <w:jc w:val="left"/>
            </w:pPr>
            <w:r>
              <w:rPr>
                <w:color w:val="37474F"/>
                <w:sz w:val="18"/>
              </w:rPr>
              <w:t>partial fractions of original volume</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InpBEBufferATR</w:t>
            </w:r>
          </w:p>
        </w:tc>
        <w:tc>
          <w:tcPr>
            <w:tcW w:w="1400" w:type="dxa"/>
            <w:tcMar>
              <w:top w:w="60" w:type="dxa"/>
              <w:left w:w="100" w:type="dxa"/>
              <w:bottom w:w="60" w:type="dxa"/>
              <w:right w:w="100" w:type="dxa"/>
            </w:tcMar>
          </w:tcPr>
          <w:p>
            <w:pPr>
              <w:spacing w:before="20" w:after="20" w:line="240" w:lineRule="auto"/>
              <w:jc w:val="left"/>
            </w:pPr>
            <w:r>
              <w:rPr>
                <w:color w:val="37474F"/>
                <w:sz w:val="18"/>
              </w:rPr>
              <w:t>0.2</w:t>
            </w:r>
          </w:p>
        </w:tc>
        <w:tc>
          <w:tcPr>
            <w:tcW w:w="4900" w:type="dxa"/>
            <w:tcMar>
              <w:top w:w="60" w:type="dxa"/>
              <w:left w:w="100" w:type="dxa"/>
              <w:bottom w:w="60" w:type="dxa"/>
              <w:right w:w="100" w:type="dxa"/>
            </w:tcMar>
          </w:tcPr>
          <w:p>
            <w:pPr>
              <w:spacing w:before="20" w:after="20" w:line="240" w:lineRule="auto"/>
              <w:jc w:val="left"/>
            </w:pPr>
            <w:r>
              <w:rPr>
                <w:color w:val="37474F"/>
                <w:sz w:val="18"/>
              </w:rPr>
              <w:t>break-even offset after TP1</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InpTrailATRMult</w:t>
            </w:r>
          </w:p>
        </w:tc>
        <w:tc>
          <w:tcPr>
            <w:tcW w:w="1400" w:type="dxa"/>
            <w:tcMar>
              <w:top w:w="60" w:type="dxa"/>
              <w:left w:w="100" w:type="dxa"/>
              <w:bottom w:w="60" w:type="dxa"/>
              <w:right w:w="100" w:type="dxa"/>
            </w:tcMar>
          </w:tcPr>
          <w:p>
            <w:pPr>
              <w:spacing w:before="20" w:after="20" w:line="240" w:lineRule="auto"/>
              <w:jc w:val="left"/>
            </w:pPr>
            <w:r>
              <w:rPr>
                <w:color w:val="37474F"/>
                <w:sz w:val="18"/>
              </w:rPr>
              <w:t>1.2</w:t>
            </w:r>
          </w:p>
        </w:tc>
        <w:tc>
          <w:tcPr>
            <w:tcW w:w="4900" w:type="dxa"/>
            <w:tcMar>
              <w:top w:w="60" w:type="dxa"/>
              <w:left w:w="100" w:type="dxa"/>
              <w:bottom w:w="60" w:type="dxa"/>
              <w:right w:w="100" w:type="dxa"/>
            </w:tcMar>
          </w:tcPr>
          <w:p>
            <w:pPr>
              <w:spacing w:before="20" w:after="20" w:line="240" w:lineRule="auto"/>
              <w:jc w:val="left"/>
            </w:pPr>
            <w:r>
              <w:rPr>
                <w:color w:val="37474F"/>
                <w:sz w:val="18"/>
              </w:rPr>
              <w:t>runner trailing distance</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InpTimeStopBars</w:t>
            </w:r>
          </w:p>
        </w:tc>
        <w:tc>
          <w:tcPr>
            <w:tcW w:w="1400" w:type="dxa"/>
            <w:tcMar>
              <w:top w:w="60" w:type="dxa"/>
              <w:left w:w="100" w:type="dxa"/>
              <w:bottom w:w="60" w:type="dxa"/>
              <w:right w:w="100" w:type="dxa"/>
            </w:tcMar>
          </w:tcPr>
          <w:p>
            <w:pPr>
              <w:spacing w:before="20" w:after="20" w:line="240" w:lineRule="auto"/>
              <w:jc w:val="left"/>
            </w:pPr>
            <w:r>
              <w:rPr>
                <w:color w:val="37474F"/>
                <w:sz w:val="18"/>
              </w:rPr>
              <w:t>12</w:t>
            </w:r>
          </w:p>
        </w:tc>
        <w:tc>
          <w:tcPr>
            <w:tcW w:w="4900" w:type="dxa"/>
            <w:tcMar>
              <w:top w:w="60" w:type="dxa"/>
              <w:left w:w="100" w:type="dxa"/>
              <w:bottom w:w="60" w:type="dxa"/>
              <w:right w:w="100" w:type="dxa"/>
            </w:tcMar>
          </w:tcPr>
          <w:p>
            <w:pPr>
              <w:spacing w:before="20" w:after="20" w:line="240" w:lineRule="auto"/>
              <w:jc w:val="left"/>
            </w:pPr>
            <w:r>
              <w:rPr>
                <w:color w:val="37474F"/>
                <w:sz w:val="18"/>
              </w:rPr>
              <w:t>stale-scalp exit (bars; 0 = off) — v2.0 validated</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InpMinScoreBase</w:t>
            </w:r>
          </w:p>
        </w:tc>
        <w:tc>
          <w:tcPr>
            <w:tcW w:w="1400" w:type="dxa"/>
            <w:tcMar>
              <w:top w:w="60" w:type="dxa"/>
              <w:left w:w="100" w:type="dxa"/>
              <w:bottom w:w="60" w:type="dxa"/>
              <w:right w:w="100" w:type="dxa"/>
            </w:tcMar>
          </w:tcPr>
          <w:p>
            <w:pPr>
              <w:spacing w:before="20" w:after="20" w:line="240" w:lineRule="auto"/>
              <w:jc w:val="left"/>
            </w:pPr>
            <w:r>
              <w:rPr>
                <w:color w:val="37474F"/>
                <w:sz w:val="18"/>
              </w:rPr>
              <w:t>70</w:t>
            </w:r>
          </w:p>
        </w:tc>
        <w:tc>
          <w:tcPr>
            <w:tcW w:w="4900" w:type="dxa"/>
            <w:tcMar>
              <w:top w:w="60" w:type="dxa"/>
              <w:left w:w="100" w:type="dxa"/>
              <w:bottom w:w="60" w:type="dxa"/>
              <w:right w:w="100" w:type="dxa"/>
            </w:tcMar>
          </w:tcPr>
          <w:p>
            <w:pPr>
              <w:spacing w:before="20" w:after="20" w:line="240" w:lineRule="auto"/>
              <w:jc w:val="left"/>
            </w:pPr>
            <w:r>
              <w:rPr>
                <w:color w:val="37474F"/>
                <w:sz w:val="18"/>
              </w:rPr>
              <w:t>base confluence threshold</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InpW_VWAP .. InpW_Book</w:t>
            </w:r>
          </w:p>
        </w:tc>
        <w:tc>
          <w:tcPr>
            <w:tcW w:w="1400" w:type="dxa"/>
            <w:tcMar>
              <w:top w:w="60" w:type="dxa"/>
              <w:left w:w="100" w:type="dxa"/>
              <w:bottom w:w="60" w:type="dxa"/>
              <w:right w:w="100" w:type="dxa"/>
            </w:tcMar>
          </w:tcPr>
          <w:p>
            <w:pPr>
              <w:spacing w:before="20" w:after="20" w:line="240" w:lineRule="auto"/>
              <w:jc w:val="left"/>
            </w:pPr>
            <w:r>
              <w:rPr>
                <w:color w:val="37474F"/>
                <w:sz w:val="18"/>
              </w:rPr>
              <w:t>15/15/10/12/20/10/10/8</w:t>
            </w:r>
          </w:p>
        </w:tc>
        <w:tc>
          <w:tcPr>
            <w:tcW w:w="4900" w:type="dxa"/>
            <w:tcMar>
              <w:top w:w="60" w:type="dxa"/>
              <w:left w:w="100" w:type="dxa"/>
              <w:bottom w:w="60" w:type="dxa"/>
              <w:right w:w="100" w:type="dxa"/>
            </w:tcMar>
          </w:tcPr>
          <w:p>
            <w:pPr>
              <w:spacing w:before="20" w:after="20" w:line="240" w:lineRule="auto"/>
              <w:jc w:val="left"/>
            </w:pPr>
            <w:r>
              <w:rPr>
                <w:color w:val="37474F"/>
                <w:sz w:val="18"/>
              </w:rPr>
              <w:t>the 8 group weights</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InpProfileBars / Rows / ValueAreaPct</w:t>
            </w:r>
          </w:p>
        </w:tc>
        <w:tc>
          <w:tcPr>
            <w:tcW w:w="1400" w:type="dxa"/>
            <w:tcMar>
              <w:top w:w="60" w:type="dxa"/>
              <w:left w:w="100" w:type="dxa"/>
              <w:bottom w:w="60" w:type="dxa"/>
              <w:right w:w="100" w:type="dxa"/>
            </w:tcMar>
          </w:tcPr>
          <w:p>
            <w:pPr>
              <w:spacing w:before="20" w:after="20" w:line="240" w:lineRule="auto"/>
              <w:jc w:val="left"/>
            </w:pPr>
            <w:r>
              <w:rPr>
                <w:color w:val="37474F"/>
                <w:sz w:val="18"/>
              </w:rPr>
              <w:t>288 / 60 / 70</w:t>
            </w:r>
          </w:p>
        </w:tc>
        <w:tc>
          <w:tcPr>
            <w:tcW w:w="4900" w:type="dxa"/>
            <w:tcMar>
              <w:top w:w="60" w:type="dxa"/>
              <w:left w:w="100" w:type="dxa"/>
              <w:bottom w:w="60" w:type="dxa"/>
              <w:right w:w="100" w:type="dxa"/>
            </w:tcMar>
          </w:tcPr>
          <w:p>
            <w:pPr>
              <w:spacing w:before="20" w:after="20" w:line="240" w:lineRule="auto"/>
              <w:jc w:val="left"/>
            </w:pPr>
            <w:r>
              <w:rPr>
                <w:color w:val="37474F"/>
                <w:sz w:val="18"/>
              </w:rPr>
              <w:t>volume profile construction</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InpDivergenceLookback</w:t>
            </w:r>
          </w:p>
        </w:tc>
        <w:tc>
          <w:tcPr>
            <w:tcW w:w="1400" w:type="dxa"/>
            <w:tcMar>
              <w:top w:w="60" w:type="dxa"/>
              <w:left w:w="100" w:type="dxa"/>
              <w:bottom w:w="60" w:type="dxa"/>
              <w:right w:w="100" w:type="dxa"/>
            </w:tcMar>
          </w:tcPr>
          <w:p>
            <w:pPr>
              <w:spacing w:before="20" w:after="20" w:line="240" w:lineRule="auto"/>
              <w:jc w:val="left"/>
            </w:pPr>
            <w:r>
              <w:rPr>
                <w:color w:val="37474F"/>
                <w:sz w:val="18"/>
              </w:rPr>
              <w:t>30</w:t>
            </w:r>
          </w:p>
        </w:tc>
        <w:tc>
          <w:tcPr>
            <w:tcW w:w="4900" w:type="dxa"/>
            <w:tcMar>
              <w:top w:w="60" w:type="dxa"/>
              <w:left w:w="100" w:type="dxa"/>
              <w:bottom w:w="60" w:type="dxa"/>
              <w:right w:w="100" w:type="dxa"/>
            </w:tcMar>
          </w:tcPr>
          <w:p>
            <w:pPr>
              <w:spacing w:before="20" w:after="20" w:line="240" w:lineRule="auto"/>
              <w:jc w:val="left"/>
            </w:pPr>
            <w:r>
              <w:rPr>
                <w:color w:val="37474F"/>
                <w:sz w:val="18"/>
              </w:rPr>
              <w:t>delta divergence window</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InpMFILength</w:t>
            </w:r>
          </w:p>
        </w:tc>
        <w:tc>
          <w:tcPr>
            <w:tcW w:w="1400" w:type="dxa"/>
            <w:tcMar>
              <w:top w:w="60" w:type="dxa"/>
              <w:left w:w="100" w:type="dxa"/>
              <w:bottom w:w="60" w:type="dxa"/>
              <w:right w:w="100" w:type="dxa"/>
            </w:tcMar>
          </w:tcPr>
          <w:p>
            <w:pPr>
              <w:spacing w:before="20" w:after="20" w:line="240" w:lineRule="auto"/>
              <w:jc w:val="left"/>
            </w:pPr>
            <w:r>
              <w:rPr>
                <w:color w:val="37474F"/>
                <w:sz w:val="18"/>
              </w:rPr>
              <w:t>14</w:t>
            </w:r>
          </w:p>
        </w:tc>
        <w:tc>
          <w:tcPr>
            <w:tcW w:w="4900" w:type="dxa"/>
            <w:tcMar>
              <w:top w:w="60" w:type="dxa"/>
              <w:left w:w="100" w:type="dxa"/>
              <w:bottom w:w="60" w:type="dxa"/>
              <w:right w:w="100" w:type="dxa"/>
            </w:tcMar>
          </w:tcPr>
          <w:p>
            <w:pPr>
              <w:spacing w:before="20" w:after="20" w:line="240" w:lineRule="auto"/>
              <w:jc w:val="left"/>
            </w:pPr>
            <w:r>
              <w:rPr>
                <w:color w:val="37474F"/>
                <w:sz w:val="18"/>
              </w:rPr>
              <w:t>money flow index length</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InpSwingLen</w:t>
            </w:r>
          </w:p>
        </w:tc>
        <w:tc>
          <w:tcPr>
            <w:tcW w:w="1400" w:type="dxa"/>
            <w:tcMar>
              <w:top w:w="60" w:type="dxa"/>
              <w:left w:w="100" w:type="dxa"/>
              <w:bottom w:w="60" w:type="dxa"/>
              <w:right w:w="100" w:type="dxa"/>
            </w:tcMar>
          </w:tcPr>
          <w:p>
            <w:pPr>
              <w:spacing w:before="20" w:after="20" w:line="240" w:lineRule="auto"/>
              <w:jc w:val="left"/>
            </w:pPr>
            <w:r>
              <w:rPr>
                <w:color w:val="37474F"/>
                <w:sz w:val="18"/>
              </w:rPr>
              <w:t>5</w:t>
            </w:r>
          </w:p>
        </w:tc>
        <w:tc>
          <w:tcPr>
            <w:tcW w:w="4900" w:type="dxa"/>
            <w:tcMar>
              <w:top w:w="60" w:type="dxa"/>
              <w:left w:w="100" w:type="dxa"/>
              <w:bottom w:w="60" w:type="dxa"/>
              <w:right w:w="100" w:type="dxa"/>
            </w:tcMar>
          </w:tcPr>
          <w:p>
            <w:pPr>
              <w:spacing w:before="20" w:after="20" w:line="240" w:lineRule="auto"/>
              <w:jc w:val="left"/>
            </w:pPr>
            <w:r>
              <w:rPr>
                <w:color w:val="37474F"/>
                <w:sz w:val="18"/>
              </w:rPr>
              <w:t>swing fractal half-length (internal = 2)</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InpEqTolATR</w:t>
            </w:r>
          </w:p>
        </w:tc>
        <w:tc>
          <w:tcPr>
            <w:tcW w:w="1400" w:type="dxa"/>
            <w:tcMar>
              <w:top w:w="60" w:type="dxa"/>
              <w:left w:w="100" w:type="dxa"/>
              <w:bottom w:w="60" w:type="dxa"/>
              <w:right w:w="100" w:type="dxa"/>
            </w:tcMar>
          </w:tcPr>
          <w:p>
            <w:pPr>
              <w:spacing w:before="20" w:after="20" w:line="240" w:lineRule="auto"/>
              <w:jc w:val="left"/>
            </w:pPr>
            <w:r>
              <w:rPr>
                <w:color w:val="37474F"/>
                <w:sz w:val="18"/>
              </w:rPr>
              <w:t>0.25</w:t>
            </w:r>
          </w:p>
        </w:tc>
        <w:tc>
          <w:tcPr>
            <w:tcW w:w="4900" w:type="dxa"/>
            <w:tcMar>
              <w:top w:w="60" w:type="dxa"/>
              <w:left w:w="100" w:type="dxa"/>
              <w:bottom w:w="60" w:type="dxa"/>
              <w:right w:w="100" w:type="dxa"/>
            </w:tcMar>
          </w:tcPr>
          <w:p>
            <w:pPr>
              <w:spacing w:before="20" w:after="20" w:line="240" w:lineRule="auto"/>
              <w:jc w:val="left"/>
            </w:pPr>
            <w:r>
              <w:rPr>
                <w:color w:val="37474F"/>
                <w:sz w:val="18"/>
              </w:rPr>
              <w:t>equal highs/lows tolerance</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InpFvgMinATR</w:t>
            </w:r>
          </w:p>
        </w:tc>
        <w:tc>
          <w:tcPr>
            <w:tcW w:w="1400" w:type="dxa"/>
            <w:tcMar>
              <w:top w:w="60" w:type="dxa"/>
              <w:left w:w="100" w:type="dxa"/>
              <w:bottom w:w="60" w:type="dxa"/>
              <w:right w:w="100" w:type="dxa"/>
            </w:tcMar>
          </w:tcPr>
          <w:p>
            <w:pPr>
              <w:spacing w:before="20" w:after="20" w:line="240" w:lineRule="auto"/>
              <w:jc w:val="left"/>
            </w:pPr>
            <w:r>
              <w:rPr>
                <w:color w:val="37474F"/>
                <w:sz w:val="18"/>
              </w:rPr>
              <w:t>0.15</w:t>
            </w:r>
          </w:p>
        </w:tc>
        <w:tc>
          <w:tcPr>
            <w:tcW w:w="4900" w:type="dxa"/>
            <w:tcMar>
              <w:top w:w="60" w:type="dxa"/>
              <w:left w:w="100" w:type="dxa"/>
              <w:bottom w:w="60" w:type="dxa"/>
              <w:right w:w="100" w:type="dxa"/>
            </w:tcMar>
          </w:tcPr>
          <w:p>
            <w:pPr>
              <w:spacing w:before="20" w:after="20" w:line="240" w:lineRule="auto"/>
              <w:jc w:val="left"/>
            </w:pPr>
            <w:r>
              <w:rPr>
                <w:color w:val="37474F"/>
                <w:sz w:val="18"/>
              </w:rPr>
              <w:t>minimum FVG size</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InpSignalValidBars</w:t>
            </w:r>
          </w:p>
        </w:tc>
        <w:tc>
          <w:tcPr>
            <w:tcW w:w="1400" w:type="dxa"/>
            <w:tcMar>
              <w:top w:w="60" w:type="dxa"/>
              <w:left w:w="100" w:type="dxa"/>
              <w:bottom w:w="60" w:type="dxa"/>
              <w:right w:w="100" w:type="dxa"/>
            </w:tcMar>
          </w:tcPr>
          <w:p>
            <w:pPr>
              <w:spacing w:before="20" w:after="20" w:line="240" w:lineRule="auto"/>
              <w:jc w:val="left"/>
            </w:pPr>
            <w:r>
              <w:rPr>
                <w:color w:val="37474F"/>
                <w:sz w:val="18"/>
              </w:rPr>
              <w:t>12</w:t>
            </w:r>
          </w:p>
        </w:tc>
        <w:tc>
          <w:tcPr>
            <w:tcW w:w="4900" w:type="dxa"/>
            <w:tcMar>
              <w:top w:w="60" w:type="dxa"/>
              <w:left w:w="100" w:type="dxa"/>
              <w:bottom w:w="60" w:type="dxa"/>
              <w:right w:w="100" w:type="dxa"/>
            </w:tcMar>
          </w:tcPr>
          <w:p>
            <w:pPr>
              <w:spacing w:before="20" w:after="20" w:line="240" w:lineRule="auto"/>
              <w:jc w:val="left"/>
            </w:pPr>
            <w:r>
              <w:rPr>
                <w:color w:val="37474F"/>
                <w:sz w:val="18"/>
              </w:rPr>
              <w:t>freshness window for structure events</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InpMaxZonesKept</w:t>
            </w:r>
          </w:p>
        </w:tc>
        <w:tc>
          <w:tcPr>
            <w:tcW w:w="1400" w:type="dxa"/>
            <w:tcMar>
              <w:top w:w="60" w:type="dxa"/>
              <w:left w:w="100" w:type="dxa"/>
              <w:bottom w:w="60" w:type="dxa"/>
              <w:right w:w="100" w:type="dxa"/>
            </w:tcMar>
          </w:tcPr>
          <w:p>
            <w:pPr>
              <w:spacing w:before="20" w:after="20" w:line="240" w:lineRule="auto"/>
              <w:jc w:val="left"/>
            </w:pPr>
            <w:r>
              <w:rPr>
                <w:color w:val="37474F"/>
                <w:sz w:val="18"/>
              </w:rPr>
              <w:t>20</w:t>
            </w:r>
          </w:p>
        </w:tc>
        <w:tc>
          <w:tcPr>
            <w:tcW w:w="4900" w:type="dxa"/>
            <w:tcMar>
              <w:top w:w="60" w:type="dxa"/>
              <w:left w:w="100" w:type="dxa"/>
              <w:bottom w:w="60" w:type="dxa"/>
              <w:right w:w="100" w:type="dxa"/>
            </w:tcMar>
          </w:tcPr>
          <w:p>
            <w:pPr>
              <w:spacing w:before="20" w:after="20" w:line="240" w:lineRule="auto"/>
              <w:jc w:val="left"/>
            </w:pPr>
            <w:r>
              <w:rPr>
                <w:color w:val="37474F"/>
                <w:sz w:val="18"/>
              </w:rPr>
              <w:t>zone list cap</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InpATRLen / InpTrendLen</w:t>
            </w:r>
          </w:p>
        </w:tc>
        <w:tc>
          <w:tcPr>
            <w:tcW w:w="1400" w:type="dxa"/>
            <w:tcMar>
              <w:top w:w="60" w:type="dxa"/>
              <w:left w:w="100" w:type="dxa"/>
              <w:bottom w:w="60" w:type="dxa"/>
              <w:right w:w="100" w:type="dxa"/>
            </w:tcMar>
          </w:tcPr>
          <w:p>
            <w:pPr>
              <w:spacing w:before="20" w:after="20" w:line="240" w:lineRule="auto"/>
              <w:jc w:val="left"/>
            </w:pPr>
            <w:r>
              <w:rPr>
                <w:color w:val="37474F"/>
                <w:sz w:val="18"/>
              </w:rPr>
              <w:t>14 / 20</w:t>
            </w:r>
          </w:p>
        </w:tc>
        <w:tc>
          <w:tcPr>
            <w:tcW w:w="4900" w:type="dxa"/>
            <w:tcMar>
              <w:top w:w="60" w:type="dxa"/>
              <w:left w:w="100" w:type="dxa"/>
              <w:bottom w:w="60" w:type="dxa"/>
              <w:right w:w="100" w:type="dxa"/>
            </w:tcMar>
          </w:tcPr>
          <w:p>
            <w:pPr>
              <w:spacing w:before="20" w:after="20" w:line="240" w:lineRule="auto"/>
              <w:jc w:val="left"/>
            </w:pPr>
            <w:r>
              <w:rPr>
                <w:color w:val="37474F"/>
                <w:sz w:val="18"/>
              </w:rPr>
              <w:t>regime engine lengths</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InpUseOrderBook</w:t>
            </w:r>
          </w:p>
        </w:tc>
        <w:tc>
          <w:tcPr>
            <w:tcW w:w="1400" w:type="dxa"/>
            <w:tcMar>
              <w:top w:w="60" w:type="dxa"/>
              <w:left w:w="100" w:type="dxa"/>
              <w:bottom w:w="60" w:type="dxa"/>
              <w:right w:w="100" w:type="dxa"/>
            </w:tcMar>
          </w:tcPr>
          <w:p>
            <w:pPr>
              <w:spacing w:before="20" w:after="20" w:line="240" w:lineRule="auto"/>
              <w:jc w:val="left"/>
            </w:pPr>
            <w:r>
              <w:rPr>
                <w:color w:val="37474F"/>
                <w:sz w:val="18"/>
              </w:rPr>
              <w:t>true</w:t>
            </w:r>
          </w:p>
        </w:tc>
        <w:tc>
          <w:tcPr>
            <w:tcW w:w="4900" w:type="dxa"/>
            <w:tcMar>
              <w:top w:w="60" w:type="dxa"/>
              <w:left w:w="100" w:type="dxa"/>
              <w:bottom w:w="60" w:type="dxa"/>
              <w:right w:w="100" w:type="dxa"/>
            </w:tcMar>
          </w:tcPr>
          <w:p>
            <w:pPr>
              <w:spacing w:before="20" w:after="20" w:line="240" w:lineRule="auto"/>
              <w:jc w:val="left"/>
            </w:pPr>
            <w:r>
              <w:rPr>
                <w:color w:val="37474F"/>
                <w:sz w:val="18"/>
              </w:rPr>
              <w:t>enable the 3-tier book</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InpBookImbalanceMin</w:t>
            </w:r>
          </w:p>
        </w:tc>
        <w:tc>
          <w:tcPr>
            <w:tcW w:w="1400" w:type="dxa"/>
            <w:tcMar>
              <w:top w:w="60" w:type="dxa"/>
              <w:left w:w="100" w:type="dxa"/>
              <w:bottom w:w="60" w:type="dxa"/>
              <w:right w:w="100" w:type="dxa"/>
            </w:tcMar>
          </w:tcPr>
          <w:p>
            <w:pPr>
              <w:spacing w:before="20" w:after="20" w:line="240" w:lineRule="auto"/>
              <w:jc w:val="left"/>
            </w:pPr>
            <w:r>
              <w:rPr>
                <w:color w:val="37474F"/>
                <w:sz w:val="18"/>
              </w:rPr>
              <w:t>0.15</w:t>
            </w:r>
          </w:p>
        </w:tc>
        <w:tc>
          <w:tcPr>
            <w:tcW w:w="4900" w:type="dxa"/>
            <w:tcMar>
              <w:top w:w="60" w:type="dxa"/>
              <w:left w:w="100" w:type="dxa"/>
              <w:bottom w:w="60" w:type="dxa"/>
              <w:right w:w="100" w:type="dxa"/>
            </w:tcMar>
          </w:tcPr>
          <w:p>
            <w:pPr>
              <w:spacing w:before="20" w:after="20" w:line="240" w:lineRule="auto"/>
              <w:jc w:val="left"/>
            </w:pPr>
            <w:r>
              <w:rPr>
                <w:color w:val="37474F"/>
                <w:sz w:val="18"/>
              </w:rPr>
              <w:t>imbalance scoring threshold</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InpBookSynthWindowSec</w:t>
            </w:r>
          </w:p>
        </w:tc>
        <w:tc>
          <w:tcPr>
            <w:tcW w:w="1400" w:type="dxa"/>
            <w:tcMar>
              <w:top w:w="60" w:type="dxa"/>
              <w:left w:w="100" w:type="dxa"/>
              <w:bottom w:w="60" w:type="dxa"/>
              <w:right w:w="100" w:type="dxa"/>
            </w:tcMar>
          </w:tcPr>
          <w:p>
            <w:pPr>
              <w:spacing w:before="20" w:after="20" w:line="240" w:lineRule="auto"/>
              <w:jc w:val="left"/>
            </w:pPr>
            <w:r>
              <w:rPr>
                <w:color w:val="37474F"/>
                <w:sz w:val="18"/>
              </w:rPr>
              <w:t>1800</w:t>
            </w:r>
          </w:p>
        </w:tc>
        <w:tc>
          <w:tcPr>
            <w:tcW w:w="4900" w:type="dxa"/>
            <w:tcMar>
              <w:top w:w="60" w:type="dxa"/>
              <w:left w:w="100" w:type="dxa"/>
              <w:bottom w:w="60" w:type="dxa"/>
              <w:right w:w="100" w:type="dxa"/>
            </w:tcMar>
          </w:tcPr>
          <w:p>
            <w:pPr>
              <w:spacing w:before="20" w:after="20" w:line="240" w:lineRule="auto"/>
              <w:jc w:val="left"/>
            </w:pPr>
            <w:r>
              <w:rPr>
                <w:color w:val="37474F"/>
                <w:sz w:val="18"/>
              </w:rPr>
              <w:t>synthetic ladder rolling window</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InpBookLadderBins</w:t>
            </w:r>
          </w:p>
        </w:tc>
        <w:tc>
          <w:tcPr>
            <w:tcW w:w="1400" w:type="dxa"/>
            <w:tcMar>
              <w:top w:w="60" w:type="dxa"/>
              <w:left w:w="100" w:type="dxa"/>
              <w:bottom w:w="60" w:type="dxa"/>
              <w:right w:w="100" w:type="dxa"/>
            </w:tcMar>
          </w:tcPr>
          <w:p>
            <w:pPr>
              <w:spacing w:before="20" w:after="20" w:line="240" w:lineRule="auto"/>
              <w:jc w:val="left"/>
            </w:pPr>
            <w:r>
              <w:rPr>
                <w:color w:val="37474F"/>
                <w:sz w:val="18"/>
              </w:rPr>
              <w:t>40</w:t>
            </w:r>
          </w:p>
        </w:tc>
        <w:tc>
          <w:tcPr>
            <w:tcW w:w="4900" w:type="dxa"/>
            <w:tcMar>
              <w:top w:w="60" w:type="dxa"/>
              <w:left w:w="100" w:type="dxa"/>
              <w:bottom w:w="60" w:type="dxa"/>
              <w:right w:w="100" w:type="dxa"/>
            </w:tcMar>
          </w:tcPr>
          <w:p>
            <w:pPr>
              <w:spacing w:before="20" w:after="20" w:line="240" w:lineRule="auto"/>
              <w:jc w:val="left"/>
            </w:pPr>
            <w:r>
              <w:rPr>
                <w:color w:val="37474F"/>
                <w:sz w:val="18"/>
              </w:rPr>
              <w:t>synthetic ladder price bins</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InpOFIMin</w:t>
            </w:r>
          </w:p>
        </w:tc>
        <w:tc>
          <w:tcPr>
            <w:tcW w:w="1400" w:type="dxa"/>
            <w:tcMar>
              <w:top w:w="60" w:type="dxa"/>
              <w:left w:w="100" w:type="dxa"/>
              <w:bottom w:w="60" w:type="dxa"/>
              <w:right w:w="100" w:type="dxa"/>
            </w:tcMar>
          </w:tcPr>
          <w:p>
            <w:pPr>
              <w:spacing w:before="20" w:after="20" w:line="240" w:lineRule="auto"/>
              <w:jc w:val="left"/>
            </w:pPr>
            <w:r>
              <w:rPr>
                <w:color w:val="37474F"/>
                <w:sz w:val="18"/>
              </w:rPr>
              <w:t>0.10</w:t>
            </w:r>
          </w:p>
        </w:tc>
        <w:tc>
          <w:tcPr>
            <w:tcW w:w="4900" w:type="dxa"/>
            <w:tcMar>
              <w:top w:w="60" w:type="dxa"/>
              <w:left w:w="100" w:type="dxa"/>
              <w:bottom w:w="60" w:type="dxa"/>
              <w:right w:w="100" w:type="dxa"/>
            </w:tcMar>
          </w:tcPr>
          <w:p>
            <w:pPr>
              <w:spacing w:before="20" w:after="20" w:line="240" w:lineRule="auto"/>
              <w:jc w:val="left"/>
            </w:pPr>
            <w:r>
              <w:rPr>
                <w:color w:val="37474F"/>
                <w:sz w:val="18"/>
              </w:rPr>
              <w:t>OFI scoring threshold</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InpRelayFolder</w:t>
            </w:r>
          </w:p>
        </w:tc>
        <w:tc>
          <w:tcPr>
            <w:tcW w:w="1400" w:type="dxa"/>
            <w:tcMar>
              <w:top w:w="60" w:type="dxa"/>
              <w:left w:w="100" w:type="dxa"/>
              <w:bottom w:w="60" w:type="dxa"/>
              <w:right w:w="100" w:type="dxa"/>
            </w:tcMar>
          </w:tcPr>
          <w:p>
            <w:pPr>
              <w:spacing w:before="20" w:after="20" w:line="240" w:lineRule="auto"/>
              <w:jc w:val="left"/>
            </w:pPr>
            <w:r>
              <w:rPr>
                <w:color w:val="37474F"/>
                <w:sz w:val="18"/>
              </w:rPr>
              <w:t>ApexSignals</w:t>
            </w:r>
          </w:p>
        </w:tc>
        <w:tc>
          <w:tcPr>
            <w:tcW w:w="4900" w:type="dxa"/>
            <w:tcMar>
              <w:top w:w="60" w:type="dxa"/>
              <w:left w:w="100" w:type="dxa"/>
              <w:bottom w:w="60" w:type="dxa"/>
              <w:right w:w="100" w:type="dxa"/>
            </w:tcMar>
          </w:tcPr>
          <w:p>
            <w:pPr>
              <w:spacing w:before="20" w:after="20" w:line="240" w:lineRule="auto"/>
              <w:jc w:val="left"/>
            </w:pPr>
            <w:r>
              <w:rPr>
                <w:color w:val="37474F"/>
                <w:sz w:val="18"/>
              </w:rPr>
              <w:t>signal output folder under MQL5/Files</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InpSendPush / InpWriteCSV</w:t>
            </w:r>
          </w:p>
        </w:tc>
        <w:tc>
          <w:tcPr>
            <w:tcW w:w="1400" w:type="dxa"/>
            <w:tcMar>
              <w:top w:w="60" w:type="dxa"/>
              <w:left w:w="100" w:type="dxa"/>
              <w:bottom w:w="60" w:type="dxa"/>
              <w:right w:w="100" w:type="dxa"/>
            </w:tcMar>
          </w:tcPr>
          <w:p>
            <w:pPr>
              <w:spacing w:before="20" w:after="20" w:line="240" w:lineRule="auto"/>
              <w:jc w:val="left"/>
            </w:pPr>
            <w:r>
              <w:rPr>
                <w:color w:val="37474F"/>
                <w:sz w:val="18"/>
              </w:rPr>
              <w:t>true / true</w:t>
            </w:r>
          </w:p>
        </w:tc>
        <w:tc>
          <w:tcPr>
            <w:tcW w:w="4900" w:type="dxa"/>
            <w:tcMar>
              <w:top w:w="60" w:type="dxa"/>
              <w:left w:w="100" w:type="dxa"/>
              <w:bottom w:w="60" w:type="dxa"/>
              <w:right w:w="100" w:type="dxa"/>
            </w:tcMar>
          </w:tcPr>
          <w:p>
            <w:pPr>
              <w:spacing w:before="20" w:after="20" w:line="240" w:lineRule="auto"/>
              <w:jc w:val="left"/>
            </w:pPr>
            <w:r>
              <w:rPr>
                <w:color w:val="37474F"/>
                <w:sz w:val="18"/>
              </w:rPr>
              <w:t>relay channels</w:t>
            </w:r>
          </w:p>
        </w:tc>
      </w:tr>
      <w:tr>
        <w:tc>
          <w:tcPr>
            <w:tcW w:w="3000" w:type="dxa"/>
            <w:tcMar>
              <w:top w:w="60" w:type="dxa"/>
              <w:left w:w="100" w:type="dxa"/>
              <w:bottom w:w="60" w:type="dxa"/>
              <w:right w:w="100" w:type="dxa"/>
            </w:tcMar>
          </w:tcPr>
          <w:p>
            <w:pPr>
              <w:spacing w:before="20" w:after="20" w:line="240" w:lineRule="auto"/>
              <w:jc w:val="left"/>
            </w:pPr>
            <w:r>
              <w:rPr>
                <w:color w:val="37474F"/>
                <w:sz w:val="18"/>
              </w:rPr>
              <w:t>InpSignalExpirySec</w:t>
            </w:r>
          </w:p>
        </w:tc>
        <w:tc>
          <w:tcPr>
            <w:tcW w:w="1400" w:type="dxa"/>
            <w:tcMar>
              <w:top w:w="60" w:type="dxa"/>
              <w:left w:w="100" w:type="dxa"/>
              <w:bottom w:w="60" w:type="dxa"/>
              <w:right w:w="100" w:type="dxa"/>
            </w:tcMar>
          </w:tcPr>
          <w:p>
            <w:pPr>
              <w:spacing w:before="20" w:after="20" w:line="240" w:lineRule="auto"/>
              <w:jc w:val="left"/>
            </w:pPr>
            <w:r>
              <w:rPr>
                <w:color w:val="37474F"/>
                <w:sz w:val="18"/>
              </w:rPr>
              <w:t>900</w:t>
            </w:r>
          </w:p>
        </w:tc>
        <w:tc>
          <w:tcPr>
            <w:tcW w:w="4900" w:type="dxa"/>
            <w:tcMar>
              <w:top w:w="60" w:type="dxa"/>
              <w:left w:w="100" w:type="dxa"/>
              <w:bottom w:w="60" w:type="dxa"/>
              <w:right w:w="100" w:type="dxa"/>
            </w:tcMar>
          </w:tcPr>
          <w:p>
            <w:pPr>
              <w:spacing w:before="20" w:after="20" w:line="240" w:lineRule="auto"/>
              <w:jc w:val="left"/>
            </w:pPr>
            <w:r>
              <w:rPr>
                <w:color w:val="37474F"/>
                <w:sz w:val="18"/>
              </w:rPr>
              <w:t>signal validity lifetime for copiers</w:t>
            </w:r>
          </w:p>
        </w:tc>
      </w:tr>
    </w:tbl>
    <w:p>
      <w:pPr>
        <w:pStyle w:val="Heading1"/>
      </w:pPr>
      <w:r>
        <w:t>APPENDIX B — GLOSSARY</w:t>
      </w:r>
      <w:bookmarkStart w:name="_T24" w:id="24"/>
      <w:bookmarkEnd w:id="24"/>
    </w:p>
    <w:tbl>
      <w:tblPr>
        <w:tblW w:w="5000" w:type="pct"/>
        <w:tblBorders>
          <w:top w:val="single" w:color="B8860B" w:sz="12"/>
          <w:bottom w:val="single" w:color="B8860B" w:sz="12"/>
          <w:insideH w:val="single" w:color="CFD8DC" w:sz="4"/>
          <w:insideV w:val="single" w:color="CFD8DC" w:sz="4"/>
        </w:tblBorders>
      </w:tblPr>
      <w:tblGrid>
        <w:gridCol w:w="2400"/>
        <w:gridCol w:w="6900"/>
      </w:tblGrid>
      <w:tr>
        <w:trPr>
          <w:tblHeader/>
        </w:trPr>
        <w:tc>
          <w:tcPr>
            <w:tcW w:w="2400" w:type="dxa"/>
            <w:shd w:val="clear" w:fill="ECEFF1"/>
            <w:tcMar>
              <w:top w:w="60" w:type="dxa"/>
              <w:left w:w="100" w:type="dxa"/>
              <w:bottom w:w="60" w:type="dxa"/>
              <w:right w:w="100" w:type="dxa"/>
            </w:tcMar>
          </w:tcPr>
          <w:p>
            <w:pPr>
              <w:spacing w:before="20" w:after="20" w:line="240" w:lineRule="auto"/>
              <w:jc w:val="left"/>
            </w:pPr>
            <w:r>
              <w:rPr>
                <w:b/>
                <w:color w:val="263238"/>
                <w:sz w:val="18"/>
              </w:rPr>
              <w:t>TERM</w:t>
            </w:r>
          </w:p>
        </w:tc>
        <w:tc>
          <w:tcPr>
            <w:tcW w:w="6900" w:type="dxa"/>
            <w:shd w:val="clear" w:fill="ECEFF1"/>
            <w:tcMar>
              <w:top w:w="60" w:type="dxa"/>
              <w:left w:w="100" w:type="dxa"/>
              <w:bottom w:w="60" w:type="dxa"/>
              <w:right w:w="100" w:type="dxa"/>
            </w:tcMar>
          </w:tcPr>
          <w:p>
            <w:pPr>
              <w:spacing w:before="20" w:after="20" w:line="240" w:lineRule="auto"/>
              <w:jc w:val="left"/>
            </w:pPr>
            <w:r>
              <w:rPr>
                <w:b/>
                <w:color w:val="263238"/>
                <w:sz w:val="18"/>
              </w:rPr>
              <w:t>DEFINITION</w:t>
            </w:r>
          </w:p>
        </w:tc>
      </w:tr>
      <w:tr>
        <w:tc>
          <w:tcPr>
            <w:tcW w:w="2400" w:type="dxa"/>
            <w:tcMar>
              <w:top w:w="60" w:type="dxa"/>
              <w:left w:w="100" w:type="dxa"/>
              <w:bottom w:w="60" w:type="dxa"/>
              <w:right w:w="100" w:type="dxa"/>
            </w:tcMar>
          </w:tcPr>
          <w:p>
            <w:pPr>
              <w:spacing w:before="20" w:after="20" w:line="240" w:lineRule="auto"/>
              <w:jc w:val="left"/>
            </w:pPr>
            <w:r>
              <w:rPr>
                <w:color w:val="37474F"/>
                <w:sz w:val="18"/>
              </w:rPr>
              <w:t>POC / VAH / VAL</w:t>
            </w:r>
          </w:p>
        </w:tc>
        <w:tc>
          <w:tcPr>
            <w:tcW w:w="6900" w:type="dxa"/>
            <w:tcMar>
              <w:top w:w="60" w:type="dxa"/>
              <w:left w:w="100" w:type="dxa"/>
              <w:bottom w:w="60" w:type="dxa"/>
              <w:right w:w="100" w:type="dxa"/>
            </w:tcMar>
          </w:tcPr>
          <w:p>
            <w:pPr>
              <w:spacing w:before="20" w:after="20" w:line="240" w:lineRule="auto"/>
              <w:jc w:val="left"/>
            </w:pPr>
            <w:r>
              <w:rPr>
                <w:color w:val="37474F"/>
                <w:sz w:val="18"/>
              </w:rPr>
              <w:t>Point of control / value-area high &amp; low: the price of maximum traded volume and the 70% acceptance band around it</w:t>
            </w:r>
          </w:p>
        </w:tc>
      </w:tr>
      <w:tr>
        <w:tc>
          <w:tcPr>
            <w:tcW w:w="2400" w:type="dxa"/>
            <w:tcMar>
              <w:top w:w="60" w:type="dxa"/>
              <w:left w:w="100" w:type="dxa"/>
              <w:bottom w:w="60" w:type="dxa"/>
              <w:right w:w="100" w:type="dxa"/>
            </w:tcMar>
          </w:tcPr>
          <w:p>
            <w:pPr>
              <w:spacing w:before="20" w:after="20" w:line="240" w:lineRule="auto"/>
              <w:jc w:val="left"/>
            </w:pPr>
            <w:r>
              <w:rPr>
                <w:color w:val="37474F"/>
                <w:sz w:val="18"/>
              </w:rPr>
              <w:t>HVN / LVN</w:t>
            </w:r>
          </w:p>
        </w:tc>
        <w:tc>
          <w:tcPr>
            <w:tcW w:w="6900" w:type="dxa"/>
            <w:tcMar>
              <w:top w:w="60" w:type="dxa"/>
              <w:left w:w="100" w:type="dxa"/>
              <w:bottom w:w="60" w:type="dxa"/>
              <w:right w:w="100" w:type="dxa"/>
            </w:tcMar>
          </w:tcPr>
          <w:p>
            <w:pPr>
              <w:spacing w:before="20" w:after="20" w:line="240" w:lineRule="auto"/>
              <w:jc w:val="left"/>
            </w:pPr>
            <w:r>
              <w:rPr>
                <w:color w:val="37474F"/>
                <w:sz w:val="18"/>
              </w:rPr>
              <w:t>High / low volume node: acceptance shelf (support-resistance) vs rejection zone (fast-travel air pocket)</w:t>
            </w:r>
          </w:p>
        </w:tc>
      </w:tr>
      <w:tr>
        <w:tc>
          <w:tcPr>
            <w:tcW w:w="2400" w:type="dxa"/>
            <w:tcMar>
              <w:top w:w="60" w:type="dxa"/>
              <w:left w:w="100" w:type="dxa"/>
              <w:bottom w:w="60" w:type="dxa"/>
              <w:right w:w="100" w:type="dxa"/>
            </w:tcMar>
          </w:tcPr>
          <w:p>
            <w:pPr>
              <w:spacing w:before="20" w:after="20" w:line="240" w:lineRule="auto"/>
              <w:jc w:val="left"/>
            </w:pPr>
            <w:r>
              <w:rPr>
                <w:color w:val="37474F"/>
                <w:sz w:val="18"/>
              </w:rPr>
              <w:t>Delta</w:t>
            </w:r>
          </w:p>
        </w:tc>
        <w:tc>
          <w:tcPr>
            <w:tcW w:w="6900" w:type="dxa"/>
            <w:tcMar>
              <w:top w:w="60" w:type="dxa"/>
              <w:left w:w="100" w:type="dxa"/>
              <w:bottom w:w="60" w:type="dxa"/>
              <w:right w:w="100" w:type="dxa"/>
            </w:tcMar>
          </w:tcPr>
          <w:p>
            <w:pPr>
              <w:spacing w:before="20" w:after="20" w:line="240" w:lineRule="auto"/>
              <w:jc w:val="left"/>
            </w:pPr>
            <w:r>
              <w:rPr>
                <w:color w:val="37474F"/>
                <w:sz w:val="18"/>
              </w:rPr>
              <w:t>Aggressive buy volume minus sell volume; cumulative delta tracks its running session total</w:t>
            </w:r>
          </w:p>
        </w:tc>
      </w:tr>
      <w:tr>
        <w:tc>
          <w:tcPr>
            <w:tcW w:w="2400" w:type="dxa"/>
            <w:tcMar>
              <w:top w:w="60" w:type="dxa"/>
              <w:left w:w="100" w:type="dxa"/>
              <w:bottom w:w="60" w:type="dxa"/>
              <w:right w:w="100" w:type="dxa"/>
            </w:tcMar>
          </w:tcPr>
          <w:p>
            <w:pPr>
              <w:spacing w:before="20" w:after="20" w:line="240" w:lineRule="auto"/>
              <w:jc w:val="left"/>
            </w:pPr>
            <w:r>
              <w:rPr>
                <w:color w:val="37474F"/>
                <w:sz w:val="18"/>
              </w:rPr>
              <w:t>BOS / CHoCH</w:t>
            </w:r>
          </w:p>
        </w:tc>
        <w:tc>
          <w:tcPr>
            <w:tcW w:w="6900" w:type="dxa"/>
            <w:tcMar>
              <w:top w:w="60" w:type="dxa"/>
              <w:left w:w="100" w:type="dxa"/>
              <w:bottom w:w="60" w:type="dxa"/>
              <w:right w:w="100" w:type="dxa"/>
            </w:tcMar>
          </w:tcPr>
          <w:p>
            <w:pPr>
              <w:spacing w:before="20" w:after="20" w:line="240" w:lineRule="auto"/>
              <w:jc w:val="left"/>
            </w:pPr>
            <w:r>
              <w:rPr>
                <w:color w:val="37474F"/>
                <w:sz w:val="18"/>
              </w:rPr>
              <w:t>Break of structure (trend continuation) / change of character (first reversal evidence)</w:t>
            </w:r>
          </w:p>
        </w:tc>
      </w:tr>
      <w:tr>
        <w:tc>
          <w:tcPr>
            <w:tcW w:w="2400" w:type="dxa"/>
            <w:tcMar>
              <w:top w:w="60" w:type="dxa"/>
              <w:left w:w="100" w:type="dxa"/>
              <w:bottom w:w="60" w:type="dxa"/>
              <w:right w:w="100" w:type="dxa"/>
            </w:tcMar>
          </w:tcPr>
          <w:p>
            <w:pPr>
              <w:spacing w:before="20" w:after="20" w:line="240" w:lineRule="auto"/>
              <w:jc w:val="left"/>
            </w:pPr>
            <w:r>
              <w:rPr>
                <w:color w:val="37474F"/>
                <w:sz w:val="18"/>
              </w:rPr>
              <w:t>FVG</w:t>
            </w:r>
          </w:p>
        </w:tc>
        <w:tc>
          <w:tcPr>
            <w:tcW w:w="6900" w:type="dxa"/>
            <w:tcMar>
              <w:top w:w="60" w:type="dxa"/>
              <w:left w:w="100" w:type="dxa"/>
              <w:bottom w:w="60" w:type="dxa"/>
              <w:right w:w="100" w:type="dxa"/>
            </w:tcMar>
          </w:tcPr>
          <w:p>
            <w:pPr>
              <w:spacing w:before="20" w:after="20" w:line="240" w:lineRule="auto"/>
              <w:jc w:val="left"/>
            </w:pPr>
            <w:r>
              <w:rPr>
                <w:color w:val="37474F"/>
                <w:sz w:val="18"/>
              </w:rPr>
              <w:t>Fair value gap: a 3-bar imbalance gap the auction often revisits</w:t>
            </w:r>
          </w:p>
        </w:tc>
      </w:tr>
      <w:tr>
        <w:tc>
          <w:tcPr>
            <w:tcW w:w="2400" w:type="dxa"/>
            <w:tcMar>
              <w:top w:w="60" w:type="dxa"/>
              <w:left w:w="100" w:type="dxa"/>
              <w:bottom w:w="60" w:type="dxa"/>
              <w:right w:w="100" w:type="dxa"/>
            </w:tcMar>
          </w:tcPr>
          <w:p>
            <w:pPr>
              <w:spacing w:before="20" w:after="20" w:line="240" w:lineRule="auto"/>
              <w:jc w:val="left"/>
            </w:pPr>
            <w:r>
              <w:rPr>
                <w:color w:val="37474F"/>
                <w:sz w:val="18"/>
              </w:rPr>
              <w:t>Order block (volumetric)</w:t>
            </w:r>
          </w:p>
        </w:tc>
        <w:tc>
          <w:tcPr>
            <w:tcW w:w="6900" w:type="dxa"/>
            <w:tcMar>
              <w:top w:w="60" w:type="dxa"/>
              <w:left w:w="100" w:type="dxa"/>
              <w:bottom w:w="60" w:type="dxa"/>
              <w:right w:w="100" w:type="dxa"/>
            </w:tcMar>
          </w:tcPr>
          <w:p>
            <w:pPr>
              <w:spacing w:before="20" w:after="20" w:line="240" w:lineRule="auto"/>
              <w:jc w:val="left"/>
            </w:pPr>
            <w:r>
              <w:rPr>
                <w:color w:val="37474F"/>
                <w:sz w:val="18"/>
              </w:rPr>
              <w:t>Last opposite candle before an impulsive structure break, strength-scored by its volume</w:t>
            </w:r>
          </w:p>
        </w:tc>
      </w:tr>
      <w:tr>
        <w:tc>
          <w:tcPr>
            <w:tcW w:w="2400" w:type="dxa"/>
            <w:tcMar>
              <w:top w:w="60" w:type="dxa"/>
              <w:left w:w="100" w:type="dxa"/>
              <w:bottom w:w="60" w:type="dxa"/>
              <w:right w:w="100" w:type="dxa"/>
            </w:tcMar>
          </w:tcPr>
          <w:p>
            <w:pPr>
              <w:spacing w:before="20" w:after="20" w:line="240" w:lineRule="auto"/>
              <w:jc w:val="left"/>
            </w:pPr>
            <w:r>
              <w:rPr>
                <w:color w:val="37474F"/>
                <w:sz w:val="18"/>
              </w:rPr>
              <w:t>EQH / EQL</w:t>
            </w:r>
          </w:p>
        </w:tc>
        <w:tc>
          <w:tcPr>
            <w:tcW w:w="6900" w:type="dxa"/>
            <w:tcMar>
              <w:top w:w="60" w:type="dxa"/>
              <w:left w:w="100" w:type="dxa"/>
              <w:bottom w:w="60" w:type="dxa"/>
              <w:right w:w="100" w:type="dxa"/>
            </w:tcMar>
          </w:tcPr>
          <w:p>
            <w:pPr>
              <w:spacing w:before="20" w:after="20" w:line="240" w:lineRule="auto"/>
              <w:jc w:val="left"/>
            </w:pPr>
            <w:r>
              <w:rPr>
                <w:color w:val="37474F"/>
                <w:sz w:val="18"/>
              </w:rPr>
              <w:t>Equal highs / lows: clustered swing extremes marking resting liquidity</w:t>
            </w:r>
          </w:p>
        </w:tc>
      </w:tr>
      <w:tr>
        <w:tc>
          <w:tcPr>
            <w:tcW w:w="2400" w:type="dxa"/>
            <w:tcMar>
              <w:top w:w="60" w:type="dxa"/>
              <w:left w:w="100" w:type="dxa"/>
              <w:bottom w:w="60" w:type="dxa"/>
              <w:right w:w="100" w:type="dxa"/>
            </w:tcMar>
          </w:tcPr>
          <w:p>
            <w:pPr>
              <w:spacing w:before="20" w:after="20" w:line="240" w:lineRule="auto"/>
              <w:jc w:val="left"/>
            </w:pPr>
            <w:r>
              <w:rPr>
                <w:color w:val="37474F"/>
                <w:sz w:val="18"/>
              </w:rPr>
              <w:t>Premium / discount</w:t>
            </w:r>
          </w:p>
        </w:tc>
        <w:tc>
          <w:tcPr>
            <w:tcW w:w="6900" w:type="dxa"/>
            <w:tcMar>
              <w:top w:w="60" w:type="dxa"/>
              <w:left w:w="100" w:type="dxa"/>
              <w:bottom w:w="60" w:type="dxa"/>
              <w:right w:w="100" w:type="dxa"/>
            </w:tcMar>
          </w:tcPr>
          <w:p>
            <w:pPr>
              <w:spacing w:before="20" w:after="20" w:line="240" w:lineRule="auto"/>
              <w:jc w:val="left"/>
            </w:pPr>
            <w:r>
              <w:rPr>
                <w:color w:val="37474F"/>
                <w:sz w:val="18"/>
              </w:rPr>
              <w:t>Upper / lower half of the dealing range; sells favour premium, buys favour discount</w:t>
            </w:r>
          </w:p>
        </w:tc>
      </w:tr>
      <w:tr>
        <w:tc>
          <w:tcPr>
            <w:tcW w:w="2400" w:type="dxa"/>
            <w:tcMar>
              <w:top w:w="60" w:type="dxa"/>
              <w:left w:w="100" w:type="dxa"/>
              <w:bottom w:w="60" w:type="dxa"/>
              <w:right w:w="100" w:type="dxa"/>
            </w:tcMar>
          </w:tcPr>
          <w:p>
            <w:pPr>
              <w:spacing w:before="20" w:after="20" w:line="240" w:lineRule="auto"/>
              <w:jc w:val="left"/>
            </w:pPr>
            <w:r>
              <w:rPr>
                <w:color w:val="37474F"/>
                <w:sz w:val="18"/>
              </w:rPr>
              <w:t>AMD</w:t>
            </w:r>
          </w:p>
        </w:tc>
        <w:tc>
          <w:tcPr>
            <w:tcW w:w="6900" w:type="dxa"/>
            <w:tcMar>
              <w:top w:w="60" w:type="dxa"/>
              <w:left w:w="100" w:type="dxa"/>
              <w:bottom w:w="60" w:type="dxa"/>
              <w:right w:w="100" w:type="dxa"/>
            </w:tcMar>
          </w:tcPr>
          <w:p>
            <w:pPr>
              <w:spacing w:before="20" w:after="20" w:line="240" w:lineRule="auto"/>
              <w:jc w:val="left"/>
            </w:pPr>
            <w:r>
              <w:rPr>
                <w:color w:val="37474F"/>
                <w:sz w:val="18"/>
              </w:rPr>
              <w:t>Accumulation (loading), manipulation (liquidity raid), distribution (offloading) — the auction's three acts</w:t>
            </w:r>
          </w:p>
        </w:tc>
      </w:tr>
      <w:tr>
        <w:tc>
          <w:tcPr>
            <w:tcW w:w="2400" w:type="dxa"/>
            <w:tcMar>
              <w:top w:w="60" w:type="dxa"/>
              <w:left w:w="100" w:type="dxa"/>
              <w:bottom w:w="60" w:type="dxa"/>
              <w:right w:w="100" w:type="dxa"/>
            </w:tcMar>
          </w:tcPr>
          <w:p>
            <w:pPr>
              <w:spacing w:before="20" w:after="20" w:line="240" w:lineRule="auto"/>
              <w:jc w:val="left"/>
            </w:pPr>
            <w:r>
              <w:rPr>
                <w:color w:val="37474F"/>
                <w:sz w:val="18"/>
              </w:rPr>
              <w:t>VWAP stack</w:t>
            </w:r>
          </w:p>
        </w:tc>
        <w:tc>
          <w:tcPr>
            <w:tcW w:w="6900" w:type="dxa"/>
            <w:tcMar>
              <w:top w:w="60" w:type="dxa"/>
              <w:left w:w="100" w:type="dxa"/>
              <w:bottom w:w="60" w:type="dxa"/>
              <w:right w:w="100" w:type="dxa"/>
            </w:tcMar>
          </w:tcPr>
          <w:p>
            <w:pPr>
              <w:spacing w:before="20" w:after="20" w:line="240" w:lineRule="auto"/>
              <w:jc w:val="left"/>
            </w:pPr>
            <w:r>
              <w:rPr>
                <w:color w:val="37474F"/>
                <w:sz w:val="18"/>
              </w:rPr>
              <w:t>Daily, weekly, monthly and quarterly volume-weighted average prices used as trend permission</w:t>
            </w:r>
          </w:p>
        </w:tc>
      </w:tr>
      <w:tr>
        <w:tc>
          <w:tcPr>
            <w:tcW w:w="2400" w:type="dxa"/>
            <w:tcMar>
              <w:top w:w="60" w:type="dxa"/>
              <w:left w:w="100" w:type="dxa"/>
              <w:bottom w:w="60" w:type="dxa"/>
              <w:right w:w="100" w:type="dxa"/>
            </w:tcMar>
          </w:tcPr>
          <w:p>
            <w:pPr>
              <w:spacing w:before="20" w:after="20" w:line="240" w:lineRule="auto"/>
              <w:jc w:val="left"/>
            </w:pPr>
            <w:r>
              <w:rPr>
                <w:color w:val="37474F"/>
                <w:sz w:val="18"/>
              </w:rPr>
              <w:t>OFI</w:t>
            </w:r>
          </w:p>
        </w:tc>
        <w:tc>
          <w:tcPr>
            <w:tcW w:w="6900" w:type="dxa"/>
            <w:tcMar>
              <w:top w:w="60" w:type="dxa"/>
              <w:left w:w="100" w:type="dxa"/>
              <w:bottom w:w="60" w:type="dxa"/>
              <w:right w:w="100" w:type="dxa"/>
            </w:tcMar>
          </w:tcPr>
          <w:p>
            <w:pPr>
              <w:spacing w:before="20" w:after="20" w:line="240" w:lineRule="auto"/>
              <w:jc w:val="left"/>
            </w:pPr>
            <w:r>
              <w:rPr>
                <w:color w:val="37474F"/>
                <w:sz w:val="18"/>
              </w:rPr>
              <w:t>Order-flow imbalance: signed pressure from best bid/ask step changes (simplified Cont-Kukanov)</w:t>
            </w:r>
          </w:p>
        </w:tc>
      </w:tr>
      <w:tr>
        <w:tc>
          <w:tcPr>
            <w:tcW w:w="2400" w:type="dxa"/>
            <w:tcMar>
              <w:top w:w="60" w:type="dxa"/>
              <w:left w:w="100" w:type="dxa"/>
              <w:bottom w:w="60" w:type="dxa"/>
              <w:right w:w="100" w:type="dxa"/>
            </w:tcMar>
          </w:tcPr>
          <w:p>
            <w:pPr>
              <w:spacing w:before="20" w:after="20" w:line="240" w:lineRule="auto"/>
              <w:jc w:val="left"/>
            </w:pPr>
            <w:r>
              <w:rPr>
                <w:color w:val="37474F"/>
                <w:sz w:val="18"/>
              </w:rPr>
              <w:t>Synthetic ladder</w:t>
            </w:r>
          </w:p>
        </w:tc>
        <w:tc>
          <w:tcPr>
            <w:tcW w:w="6900" w:type="dxa"/>
            <w:tcMar>
              <w:top w:w="60" w:type="dxa"/>
              <w:left w:w="100" w:type="dxa"/>
              <w:bottom w:w="60" w:type="dxa"/>
              <w:right w:w="100" w:type="dxa"/>
            </w:tcMar>
          </w:tcPr>
          <w:p>
            <w:pPr>
              <w:spacing w:before="20" w:after="20" w:line="240" w:lineRule="auto"/>
              <w:jc w:val="left"/>
            </w:pPr>
            <w:r>
              <w:rPr>
                <w:color w:val="37474F"/>
                <w:sz w:val="18"/>
              </w:rPr>
              <w:t>Order-book rebuilt from aggressive tick flow when the broker has no DOM</w:t>
            </w:r>
          </w:p>
        </w:tc>
      </w:tr>
      <w:tr>
        <w:tc>
          <w:tcPr>
            <w:tcW w:w="2400" w:type="dxa"/>
            <w:tcMar>
              <w:top w:w="60" w:type="dxa"/>
              <w:left w:w="100" w:type="dxa"/>
              <w:bottom w:w="60" w:type="dxa"/>
              <w:right w:w="100" w:type="dxa"/>
            </w:tcMar>
          </w:tcPr>
          <w:p>
            <w:pPr>
              <w:spacing w:before="20" w:after="20" w:line="240" w:lineRule="auto"/>
              <w:jc w:val="left"/>
            </w:pPr>
            <w:r>
              <w:rPr>
                <w:color w:val="37474F"/>
                <w:sz w:val="18"/>
              </w:rPr>
              <w:t>Time-stop</w:t>
            </w:r>
          </w:p>
        </w:tc>
        <w:tc>
          <w:tcPr>
            <w:tcW w:w="6900" w:type="dxa"/>
            <w:tcMar>
              <w:top w:w="60" w:type="dxa"/>
              <w:left w:w="100" w:type="dxa"/>
              <w:bottom w:w="60" w:type="dxa"/>
              <w:right w:w="100" w:type="dxa"/>
            </w:tcMar>
          </w:tcPr>
          <w:p>
            <w:pPr>
              <w:spacing w:before="20" w:after="20" w:line="240" w:lineRule="auto"/>
              <w:jc w:val="left"/>
            </w:pPr>
            <w:r>
              <w:rPr>
                <w:color w:val="37474F"/>
                <w:sz w:val="18"/>
              </w:rPr>
              <w:t>v2.0 validated exit: closes scalps that fail to resolve within N bars</w:t>
            </w:r>
          </w:p>
        </w:tc>
      </w:tr>
      <w:tr>
        <w:tc>
          <w:tcPr>
            <w:tcW w:w="2400" w:type="dxa"/>
            <w:tcMar>
              <w:top w:w="60" w:type="dxa"/>
              <w:left w:w="100" w:type="dxa"/>
              <w:bottom w:w="60" w:type="dxa"/>
              <w:right w:w="100" w:type="dxa"/>
            </w:tcMar>
          </w:tcPr>
          <w:p>
            <w:pPr>
              <w:spacing w:before="20" w:after="20" w:line="240" w:lineRule="auto"/>
              <w:jc w:val="left"/>
            </w:pPr>
            <w:r>
              <w:rPr>
                <w:color w:val="37474F"/>
                <w:sz w:val="18"/>
              </w:rPr>
              <w:t>Evidence gate</w:t>
            </w:r>
          </w:p>
        </w:tc>
        <w:tc>
          <w:tcPr>
            <w:tcW w:w="6900" w:type="dxa"/>
            <w:tcMar>
              <w:top w:w="60" w:type="dxa"/>
              <w:left w:w="100" w:type="dxa"/>
              <w:bottom w:w="60" w:type="dxa"/>
              <w:right w:w="100" w:type="dxa"/>
            </w:tcMar>
          </w:tcPr>
          <w:p>
            <w:pPr>
              <w:spacing w:before="20" w:after="20" w:line="240" w:lineRule="auto"/>
              <w:jc w:val="left"/>
            </w:pPr>
            <w:r>
              <w:rPr>
                <w:color w:val="37474F"/>
                <w:sz w:val="18"/>
              </w:rPr>
              <w:t>Acceptance protocol for upgrades: must beat baseline across Monte-Carlo seeds without parameter fitting</w:t>
            </w:r>
          </w:p>
        </w:tc>
      </w:tr>
    </w:tbl>
    <w:p>
      <w:pPr>
        <w:sectPr>
          <w:headerReference w:type="default" r:id="R6ca0e83a7f9646f6"/>
          <w:footerReference w:type="default" r:id="R0ac2cdf8d69e4bf6"/>
          <w:pgSz w:w="11906" w:h="16838"/>
          <w:pgMar w:top="1800" w:right="1440" w:bottom="1440" w:left="1440" w:header="720" w:footer="720"/>
        </w:sectPr>
      </w:pPr>
    </w:p>
    <w:p>
      <w:r>
        <w:drawing>
          <wp:anchor distT="0" distB="0" distL="0" distR="0" simplePos="0" relativeHeight="251658240" behindDoc="1" locked="0" layoutInCell="1" allowOverlap="1">
            <wp:simplePos x="0" y="0"/>
            <wp:positionH relativeFrom="page">
              <wp:posOffset>0</wp:posOffset>
            </wp:positionH>
            <wp:positionV relativeFrom="page">
              <wp:posOffset>0</wp:posOffset>
            </wp:positionV>
            <wp:extent cx="7560000" cy="10692000"/>
            <wp:effectExtent l="0" t="0" r="0" b="0"/>
            <wp:wrapNone/>
            <wp:docPr id="2" name="BackBg"/>
            <wp:cNvGraphicFramePr>
              <a:graphicFrameLocks noChangeAspect="1"/>
            </wp:cNvGraphicFramePr>
            <a:graphic>
              <a:graphicData uri="http://schemas.openxmlformats.org/drawingml/2006/picture">
                <pic:pic>
                  <pic:nvPicPr>
                    <pic:cNvPr id="0" name="BackBg.png"/>
                    <pic:cNvPicPr/>
                  </pic:nvPicPr>
                  <pic:blipFill>
                    <a:blip r:embed="R3cf1dde935ea4509"/>
                    <a:stretch>
                      <a:fillRect/>
                    </a:stretch>
                  </pic:blipFill>
                  <pic:spPr>
                    <a:xfrm>
                      <a:off x="0" y="0"/>
                      <a:ext cx="7560000" cy="10692000"/>
                    </a:xfrm>
                    <a:prstGeom prst="rect"/>
                  </pic:spPr>
                </pic:pic>
              </a:graphicData>
            </a:graphic>
          </wp:anchor>
        </w:drawing>
      </w:r>
    </w:p>
    <w:p>
      <w:pPr>
        <w:spacing w:before="6200"/>
        <w:jc w:val="center"/>
      </w:pPr>
      <w:r>
        <w:rPr>
          <w:b/>
          <w:color w:val="D4AF37"/>
          <w:sz w:val="44"/>
        </w:rPr>
        <w:t>APEX NAS100</w:t>
      </w:r>
    </w:p>
    <w:p>
      <w:pPr>
        <w:spacing w:before="240"/>
        <w:jc w:val="center"/>
      </w:pPr>
      <w:r>
        <w:rPr>
          <w:color w:val="B0BEC5"/>
          <w:sz w:val="20"/>
        </w:rPr>
        <w:t>Full System Architecture &amp; Technical Specification v2.0</w:t>
      </w:r>
    </w:p>
    <w:p>
      <w:pPr>
        <w:spacing w:before="200"/>
        <w:jc w:val="center"/>
      </w:pPr>
      <w:r>
        <w:rPr>
          <w:i/>
          <w:color w:val="78909C"/>
          <w:sz w:val="18"/>
        </w:rPr>
        <w:t>"Evidence in. Noise out. Risk first."</w:t>
      </w:r>
    </w:p>
    <w:p>
      <w:pPr>
        <w:spacing w:before="3000"/>
        <w:jc w:val="center"/>
      </w:pPr>
      <w:r>
        <w:rPr>
          <w:color w:val="546E7A"/>
          <w:sz w:val="16"/>
        </w:rPr>
        <w:t>Interfaces frozen · Development-ready · 2026</w:t>
      </w:r>
    </w:p>
    <w:sectPr>
      <w:pgSz w:w="11906" w:h="16838"/>
      <w:pgMar w:top="0" w:right="0" w:bottom="0" w:left="0" w:header="0" w:footer="0"/>
    </w:sectPr>
  </w:body>
</w:document>
</file>

<file path=word/footer1.xml><?xml version="1.0" encoding="utf-8"?>
<w:ftr xmlns:w="http://schemas.openxmlformats.org/wordprocessingml/2006/main">
  <w:p>
    <w:pPr>
      <w:jc w:val="center"/>
    </w:pPr>
    <w:r>
      <w:rPr>
        <w:color w:val="78909C"/>
        <w:sz w:val="16"/>
      </w:rPr>
      <w:fldChar w:fldCharType="begin"/>
    </w:r>
    <w:r>
      <w:rPr>
        <w:color w:val="78909C"/>
        <w:sz w:val="16"/>
      </w:rPr>
      <w:instrText xml:space="preserve"> PAGE </w:instrText>
    </w:r>
    <w:r>
      <w:rPr>
        <w:color w:val="78909C"/>
        <w:sz w:val="16"/>
      </w:rPr>
      <w:fldChar w:fldCharType="separate"/>
    </w:r>
    <w:r>
      <w:rPr>
        <w:color w:val="78909C"/>
        <w:sz w:val="16"/>
      </w:rPr>
      <w:t>1</w:t>
    </w:r>
    <w:r>
      <w:rPr>
        <w:color w:val="78909C"/>
        <w:sz w:val="16"/>
      </w:rPr>
      <w:fldChar w:fldCharType="end"/>
    </w:r>
    <w:r>
      <w:rPr>
        <w:color w:val="78909C"/>
        <w:sz w:val="16"/>
      </w:rPr>
      <w:t xml:space="preserve"> / </w:t>
    </w:r>
    <w:r>
      <w:rPr>
        <w:color w:val="78909C"/>
        <w:sz w:val="16"/>
      </w:rPr>
      <w:fldChar w:fldCharType="begin"/>
    </w:r>
    <w:r>
      <w:rPr>
        <w:color w:val="78909C"/>
        <w:sz w:val="16"/>
      </w:rPr>
      <w:instrText xml:space="preserve"> NUMPAGES </w:instrText>
    </w:r>
    <w:r>
      <w:rPr>
        <w:color w:val="78909C"/>
        <w:sz w:val="16"/>
      </w:rPr>
      <w:fldChar w:fldCharType="separate"/>
    </w:r>
    <w:r>
      <w:rPr>
        <w:color w:val="78909C"/>
        <w:sz w:val="16"/>
      </w:rPr>
      <w:t>1</w:t>
    </w:r>
    <w:r>
      <w:rPr>
        <w:color w:val="78909C"/>
        <w:sz w:val="16"/>
      </w:rPr>
      <w:fldChar w:fldCharType="end"/>
    </w:r>
  </w:p>
</w:ftr>
</file>

<file path=word/header1.xml><?xml version="1.0" encoding="utf-8"?>
<w:hdr xmlns:w="http://schemas.openxmlformats.org/wordprocessingml/2006/main">
  <w:p>
    <w:pPr>
      <w:spacing w:after="0"/>
      <w:jc w:val="right"/>
    </w:pPr>
    <w:r>
      <w:rPr>
        <w:color w:val="78909C"/>
        <w:sz w:val="16"/>
      </w:rPr>
      <w:t>APEX NAS100 — Full System Architecture &amp; Technical Specification v2.0</w:t>
    </w:r>
  </w:p>
</w:hdr>
</file>

<file path=word/numbering.xml><?xml version="1.0" encoding="utf-8"?>
<w:numbering xmlns:w="http://schemas.openxmlformats.org/wordprocessingml/2006/main">
  <w:abstractNum w:abstractNumId="1">
    <w:lvl w:ilvl="0">
      <w:numFmt w:val="decimal"/>
      <w:lvlText w:val="%1."/>
      <w:lvlJc w:val="left"/>
      <w:pPr>
        <w:ind w:left="640" w:hanging="360"/>
      </w:pPr>
    </w:lvl>
  </w:abstractNum>
  <w:num w:numId="1">
    <w:abstractNumId w:val="1"/>
  </w:num>
</w:numbering>
</file>

<file path=word/settings.xml><?xml version="1.0" encoding="utf-8"?>
<w:settings xmlns:w="http://schemas.openxmlformats.org/wordprocessingml/2006/main">
  <w:displayBackgroundShape/>
  <w:updateFields w:val="true"/>
</w:settings>
</file>

<file path=word/styles.xml><?xml version="1.0" encoding="utf-8"?>
<w:styles xmlns:w="http://schemas.openxmlformats.org/wordprocessingml/2006/main">
  <w:style w:type="paragraph" w:styleId="Normal" w:default="true">
    <w:name w:val="Normal"/>
    <w:pPr>
      <w:spacing w:after="180" w:line="300" w:lineRule="auto"/>
    </w:pPr>
    <w:rPr>
      <w:rFonts w:ascii="Calibri" w:hAnsi="Calibri" w:eastAsia="Microsoft YaHei"/>
      <w:color w:val="37474F"/>
      <w:sz w:val="21"/>
    </w:rPr>
  </w:style>
  <w:style w:type="paragraph" w:styleId="Heading1">
    <w:name w:val="heading 1"/>
    <w:basedOn w:val="Normal"/>
    <w:pPr>
      <w:keepNext/>
      <w:keepLines/>
      <w:spacing w:before="560" w:after="200"/>
      <w:outlineLvl w:val="0"/>
    </w:pPr>
    <w:rPr>
      <w:rFonts w:ascii="Calibri" w:hAnsi="Calibri" w:eastAsia="Microsoft YaHei"/>
      <w:b/>
      <w:color w:val="263238"/>
      <w:sz w:val="34"/>
    </w:rPr>
  </w:style>
  <w:style w:type="paragraph" w:styleId="Heading2">
    <w:name w:val="heading 2"/>
    <w:basedOn w:val="Normal"/>
    <w:pPr>
      <w:keepNext/>
      <w:keepLines/>
      <w:spacing w:before="360" w:after="140"/>
      <w:outlineLvl w:val="1"/>
    </w:pPr>
    <w:rPr>
      <w:rFonts w:ascii="Calibri" w:hAnsi="Calibri" w:eastAsia="Microsoft YaHei"/>
      <w:b/>
      <w:color w:val="B8860B"/>
      <w:sz w:val="26"/>
    </w:rPr>
  </w:style>
  <w:style w:type="paragraph" w:styleId="Heading3">
    <w:name w:val="heading 3"/>
    <w:basedOn w:val="Normal"/>
    <w:pPr>
      <w:keepNext/>
      <w:keepLines/>
      <w:spacing w:before="260" w:after="120"/>
      <w:outlineLvl w:val="2"/>
    </w:pPr>
    <w:rPr>
      <w:rFonts w:ascii="Calibri" w:hAnsi="Calibri" w:eastAsia="Microsoft YaHei"/>
      <w:b/>
      <w:color w:val="546E7A"/>
      <w:sz w:val="22"/>
    </w:rPr>
  </w:style>
  <w:style w:type="paragraph" w:styleId="Caption">
    <w:name w:val="Caption"/>
    <w:basedOn w:val="Normal"/>
    <w:pPr>
      <w:spacing w:before="60" w:after="300"/>
      <w:jc w:val="center"/>
    </w:pPr>
    <w:rPr>
      <w:color w:val="78909C"/>
      <w:sz w:val="18"/>
    </w:rPr>
  </w:style>
  <w:style w:type="paragraph" w:styleId="TOC1">
    <w:name w:val="toc 1"/>
    <w:basedOn w:val="Normal"/>
    <w:pPr>
      <w:tabs>
        <w:tab w:val="right" w:leader="dot" w:pos="9350"/>
      </w:tabs>
      <w:spacing w:before="140" w:after="50"/>
      <w:ind w:left="0"/>
    </w:pPr>
    <w:rPr>
      <w:b/>
      <w:color w:val="263238"/>
    </w:rPr>
  </w:style>
  <w:style w:type="paragraph" w:styleId="TOC2">
    <w:name w:val="toc 2"/>
    <w:basedOn w:val="Normal"/>
    <w:pPr>
      <w:tabs>
        <w:tab w:val="right" w:leader="dot" w:pos="9350"/>
      </w:tabs>
      <w:spacing w:before="40" w:after="50"/>
      <w:ind w:left="360"/>
    </w:pPr>
    <w:rPr>
      <w:color w:val="546E7A"/>
    </w:rPr>
  </w:style>
</w:styles>
</file>

<file path=word/_rels/document.xml.rels><?xml version='1.0' encoding='UTF-8'?>
<Relationships xmlns="http://schemas.openxmlformats.org/package/2006/relationships"><Relationship Type="http://schemas.openxmlformats.org/officeDocument/2006/relationships/styles" Target="styles.xml" Id="Ra6263d83736a4992" /><Relationship Type="http://schemas.openxmlformats.org/officeDocument/2006/relationships/numbering" Target="numbering.xml" Id="Rd28350f533154797" /><Relationship Type="http://schemas.openxmlformats.org/officeDocument/2006/relationships/image" Target="media/image.png" Id="R1034fe6105b74636" /><Relationship Type="http://schemas.openxmlformats.org/officeDocument/2006/relationships/image" Target="media/image2.png" Id="R3cf1dde935ea4509" /><Relationship Type="http://schemas.openxmlformats.org/officeDocument/2006/relationships/header" Target="header1.xml" Id="R6ca0e83a7f9646f6" /><Relationship Type="http://schemas.openxmlformats.org/officeDocument/2006/relationships/footer" Target="footer1.xml" Id="R0ac2cdf8d69e4bf6" /><Relationship Type="http://schemas.openxmlformats.org/officeDocument/2006/relationships/settings" Target="settings.xml" Id="R975069c3a38041d7" /></Relationships>
</file>