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bidi w:val="0"/>
        <w:spacing w:before="240" w:after="120"/>
        <w:jc w:val="center"/>
        <w:rPr/>
      </w:pPr>
      <w:r>
        <w:rPr/>
        <w:t>Increments</w:t>
      </w:r>
    </w:p>
    <w:p>
      <w:pPr>
        <w:pStyle w:val="Heading2"/>
        <w:bidi w:val="0"/>
        <w:ind w:hanging="0" w:start="0"/>
        <w:jc w:val="start"/>
        <w:rPr/>
      </w:pPr>
      <w:r>
        <w:rPr/>
        <w:t>Overview</w:t>
      </w:r>
    </w:p>
    <w:p>
      <w:pPr>
        <w:pStyle w:val="Normal"/>
        <w:bidi w:val="0"/>
        <w:jc w:val="start"/>
        <w:rPr/>
      </w:pPr>
      <w:r>
        <w:rPr/>
        <w:t xml:space="preserve">The program is to have active </w:t>
      </w:r>
      <w:r>
        <w:rPr/>
        <w:t xml:space="preserve">and inactive </w:t>
      </w:r>
      <w:r>
        <w:rPr/>
        <w:t xml:space="preserve">periods through the week. </w:t>
      </w:r>
      <w:r>
        <w:rPr/>
        <w:t>When active,</w:t>
      </w:r>
      <w:r>
        <w:rPr/>
        <w:t xml:space="preserve"> it is to open trades based off either a fixed Buy / Sell instruction, or comparison between a moving average and the current mid-price.</w:t>
      </w:r>
    </w:p>
    <w:p>
      <w:pPr>
        <w:pStyle w:val="Normal"/>
        <w:bidi w:val="0"/>
        <w:jc w:val="start"/>
        <w:rPr/>
      </w:pPr>
      <w:r>
        <w:rPr/>
        <w:tab/>
      </w:r>
      <w:r>
        <w:rPr/>
        <w:t>The take profit, stop loss, and stake per point are all determined by a value called the “increment” which cross references a string of comma separated values given by the user. For example if the increment = 3, the third value in each string will be used for the next trade.</w:t>
      </w:r>
    </w:p>
    <w:p>
      <w:pPr>
        <w:pStyle w:val="Normal"/>
        <w:bidi w:val="0"/>
        <w:jc w:val="start"/>
        <w:rPr/>
      </w:pPr>
      <w:r>
        <w:rPr/>
        <w:tab/>
        <w:t>Once a trade is opened, the program is to track the market mid-price, closing the trade when it goes beyond the take profit or stop loss.</w:t>
      </w:r>
    </w:p>
    <w:p>
      <w:pPr>
        <w:pStyle w:val="Normal"/>
        <w:bidi w:val="0"/>
        <w:jc w:val="start"/>
        <w:rPr/>
      </w:pPr>
      <w:r>
        <w:rPr/>
        <w:tab/>
        <w:t xml:space="preserve">On close various totals are updated, </w:t>
      </w:r>
      <w:r>
        <w:rPr/>
        <w:t>including the increment,</w:t>
      </w:r>
      <w:r>
        <w:rPr/>
        <w:t xml:space="preserve"> which </w:t>
      </w:r>
      <w:r>
        <w:rPr/>
        <w:t>depending on inputs will increase, decrease, or stay the same.</w:t>
      </w:r>
    </w:p>
    <w:p>
      <w:pPr>
        <w:pStyle w:val="Normal"/>
        <w:bidi w:val="0"/>
        <w:jc w:val="center"/>
        <w:rPr/>
      </w:pPr>
      <w:r>
        <w:rPr/>
        <w:tab/>
      </w:r>
      <w:r>
        <w:rPr>
          <w:i w:val="false"/>
          <w:iCs w:val="false"/>
          <w:u w:val="none"/>
        </w:rPr>
        <w:t>I would like the source code on completion of the project.</w:t>
      </w:r>
    </w:p>
    <w:p>
      <w:pPr>
        <w:pStyle w:val="Heading2"/>
        <w:bidi w:val="0"/>
        <w:ind w:hanging="0" w:start="0"/>
        <w:jc w:val="start"/>
        <w:rPr/>
      </w:pPr>
      <w:r>
        <w:rPr/>
        <w:t>Glossary</w:t>
      </w:r>
    </w:p>
    <w:p>
      <w:pPr>
        <w:pStyle w:val="BodyText"/>
        <w:bidi w:val="0"/>
        <w:jc w:val="start"/>
        <w:rPr/>
      </w:pPr>
      <w:r>
        <w:rPr/>
        <w:t>Program variable</w:t>
      </w:r>
      <w:r>
        <w:rPr/>
        <w:t>s</w:t>
      </w:r>
      <w:r>
        <w:rPr/>
        <w:t xml:space="preserve"> are </w:t>
      </w:r>
      <w:r>
        <w:rPr>
          <w:u w:val="single"/>
        </w:rPr>
        <w:t>underlined</w:t>
      </w:r>
      <w:r>
        <w:rPr/>
        <w:t xml:space="preserve">. User input variables are in </w:t>
      </w:r>
      <w:r>
        <w:rPr>
          <w:b/>
          <w:bCs/>
        </w:rPr>
        <w:t>bold</w:t>
      </w:r>
      <w:r>
        <w:rPr/>
        <w:t>.</w:t>
      </w:r>
    </w:p>
    <w:p>
      <w:pPr>
        <w:pStyle w:val="Heading3"/>
        <w:bidi w:val="0"/>
        <w:ind w:hanging="0" w:start="0"/>
        <w:jc w:val="start"/>
        <w:rPr/>
      </w:pPr>
      <w:r>
        <w:rPr/>
        <w:t>Internal values</w:t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874"/>
        <w:gridCol w:w="2205"/>
        <w:gridCol w:w="6693"/>
      </w:tblGrid>
      <w:tr>
        <w:trPr/>
        <w:tc>
          <w:tcPr>
            <w:tcW w:w="18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i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Name</w:t>
            </w:r>
          </w:p>
        </w:tc>
        <w:tc>
          <w:tcPr>
            <w:tcW w:w="22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i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Range of </w:t>
            </w:r>
            <w:r>
              <w:rPr>
                <w:b/>
                <w:bCs/>
                <w:i/>
                <w:iCs/>
                <w:u w:val="single"/>
              </w:rPr>
              <w:t>values</w:t>
            </w:r>
          </w:p>
        </w:tc>
        <w:tc>
          <w:tcPr>
            <w:tcW w:w="66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i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Description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Session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pen / closed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value recording if new trades are allowed to be opened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Session balance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100000.</w:t>
            </w:r>
            <w:r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- +100000.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 cumulative total of points won / lost in this session, </w:t>
            </w:r>
            <w:r>
              <w:rPr>
                <w:sz w:val="21"/>
                <w:szCs w:val="21"/>
              </w:rPr>
              <w:t>affected by the stake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Increment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1000.</w:t>
            </w:r>
            <w:r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- +1000.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decimal that is modified when a trade exits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Rounded Increment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1000 - +100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r>
              <w:rPr>
                <w:sz w:val="21"/>
                <w:szCs w:val="21"/>
                <w:u w:val="single"/>
              </w:rPr>
              <w:t>Increment</w:t>
            </w:r>
            <w:r>
              <w:rPr>
                <w:sz w:val="21"/>
                <w:szCs w:val="21"/>
              </w:rPr>
              <w:t xml:space="preserve"> rounded to the nearest integer, this number will say what the next trades stake, Take profit and Stop loss will be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Moving average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100000.</w:t>
            </w:r>
            <w:r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- +100000.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 simple, </w:t>
            </w:r>
            <w:r>
              <w:rPr>
                <w:sz w:val="21"/>
                <w:szCs w:val="21"/>
              </w:rPr>
              <w:t>smoothed, linear weighted, EMA, DEMA or TEMA value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MA Upper boundary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100000.</w:t>
            </w:r>
            <w:r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- +100000.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r>
              <w:rPr>
                <w:sz w:val="21"/>
                <w:szCs w:val="21"/>
                <w:u w:val="single"/>
              </w:rPr>
              <w:t>Moving average</w:t>
            </w:r>
            <w:r>
              <w:rPr>
                <w:sz w:val="21"/>
                <w:szCs w:val="21"/>
              </w:rPr>
              <w:t xml:space="preserve"> + </w:t>
            </w:r>
            <w:r>
              <w:rPr>
                <w:b/>
                <w:bCs/>
                <w:sz w:val="21"/>
                <w:szCs w:val="21"/>
              </w:rPr>
              <w:t>MA Differential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MA Lower boundary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100000.</w:t>
            </w:r>
            <w:r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- +100000.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r>
              <w:rPr>
                <w:sz w:val="21"/>
                <w:szCs w:val="21"/>
                <w:u w:val="single"/>
              </w:rPr>
              <w:t>Moving average</w:t>
            </w:r>
            <w:r>
              <w:rPr>
                <w:sz w:val="21"/>
                <w:szCs w:val="21"/>
              </w:rPr>
              <w:t xml:space="preserve"> - </w:t>
            </w:r>
            <w:r>
              <w:rPr>
                <w:b/>
                <w:bCs/>
                <w:sz w:val="21"/>
                <w:szCs w:val="21"/>
              </w:rPr>
              <w:t>MA Differential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Trade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ctive / inactive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value recording if a trade is already open</w:t>
            </w:r>
          </w:p>
        </w:tc>
      </w:tr>
      <w:tr>
        <w:trPr/>
        <w:tc>
          <w:tcPr>
            <w:tcW w:w="187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Trade value</w:t>
            </w:r>
          </w:p>
        </w:tc>
        <w:tc>
          <w:tcPr>
            <w:tcW w:w="22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100000.0 - +100000.0</w:t>
            </w:r>
          </w:p>
        </w:tc>
        <w:tc>
          <w:tcPr>
            <w:tcW w:w="66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r>
              <w:rPr>
                <w:sz w:val="21"/>
                <w:szCs w:val="21"/>
              </w:rPr>
              <w:t>[</w:t>
            </w:r>
            <w:r>
              <w:rPr>
                <w:sz w:val="21"/>
                <w:szCs w:val="21"/>
              </w:rPr>
              <w:t>pips won/lost</w:t>
            </w:r>
            <w:r>
              <w:rPr>
                <w:sz w:val="21"/>
                <w:szCs w:val="21"/>
              </w:rPr>
              <w:t>]</w:t>
            </w:r>
            <w:r>
              <w:rPr>
                <w:sz w:val="21"/>
                <w:szCs w:val="21"/>
              </w:rPr>
              <w:t xml:space="preserve"> * </w:t>
            </w:r>
            <w:r>
              <w:rPr>
                <w:sz w:val="21"/>
                <w:szCs w:val="21"/>
              </w:rPr>
              <w:t>[</w:t>
            </w:r>
            <w:r>
              <w:rPr>
                <w:sz w:val="21"/>
                <w:szCs w:val="21"/>
              </w:rPr>
              <w:t>stake</w:t>
            </w:r>
            <w:r>
              <w:rPr>
                <w:sz w:val="21"/>
                <w:szCs w:val="21"/>
              </w:rPr>
              <w:t>]</w:t>
            </w:r>
            <w:r>
              <w:rPr>
                <w:sz w:val="21"/>
                <w:szCs w:val="21"/>
              </w:rPr>
              <w:t xml:space="preserve"> of the most recent trade</w:t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p>
      <w:pPr>
        <w:pStyle w:val="Heading3"/>
        <w:numPr>
          <w:ilvl w:val="0"/>
          <w:numId w:val="0"/>
        </w:numPr>
        <w:bidi w:val="0"/>
        <w:ind w:hanging="0" w:start="0"/>
        <w:jc w:val="start"/>
        <w:rPr/>
      </w:pPr>
      <w:r>
        <w:rPr/>
        <w:t xml:space="preserve">User inputs </w:t>
      </w:r>
      <w:r>
        <w:rPr/>
        <w:t>(in desired order)</w:t>
      </w:r>
    </w:p>
    <w:tbl>
      <w:tblPr>
        <w:tblW w:w="10799" w:type="dxa"/>
        <w:jc w:val="start"/>
        <w:tblInd w:w="-3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755"/>
        <w:gridCol w:w="1770"/>
        <w:gridCol w:w="5940"/>
        <w:gridCol w:w="1334"/>
      </w:tblGrid>
      <w:tr>
        <w:trPr/>
        <w:tc>
          <w:tcPr>
            <w:tcW w:w="17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i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Name</w:t>
            </w:r>
          </w:p>
        </w:tc>
        <w:tc>
          <w:tcPr>
            <w:tcW w:w="17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i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Possible values</w:t>
            </w:r>
          </w:p>
        </w:tc>
        <w:tc>
          <w:tcPr>
            <w:tcW w:w="59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i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Description</w:t>
            </w:r>
          </w:p>
        </w:tc>
        <w:tc>
          <w:tcPr>
            <w:tcW w:w="133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i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Desired default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Trade direction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Buy / Sell / Converge / Diverge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An instruction to buy, sell, buy/sell toward the </w:t>
            </w:r>
            <w:r>
              <w:rPr>
                <w:sz w:val="21"/>
                <w:szCs w:val="21"/>
                <w:u w:val="single"/>
              </w:rPr>
              <w:t>Moving average</w:t>
            </w:r>
            <w:r>
              <w:rPr>
                <w:sz w:val="21"/>
                <w:szCs w:val="21"/>
              </w:rPr>
              <w:t xml:space="preserve">, or buy/sell away from the </w:t>
            </w:r>
            <w:r>
              <w:rPr>
                <w:sz w:val="21"/>
                <w:szCs w:val="21"/>
                <w:u w:val="single"/>
              </w:rPr>
              <w:t>Moving average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Buy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Stake Sequence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string e.g. “0.01,0.02,0.04,0.08,0.08,0.08”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 series of comma separated values, </w:t>
            </w:r>
            <w:r>
              <w:rPr>
                <w:sz w:val="21"/>
                <w:szCs w:val="21"/>
              </w:rPr>
              <w:t>in order from first to last,</w:t>
            </w:r>
            <w:r>
              <w:rPr>
                <w:sz w:val="21"/>
                <w:szCs w:val="21"/>
              </w:rPr>
              <w:t xml:space="preserve"> denoting the stake per point of a trade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0.01,0.02,0.04,0.08,0.16,</w:t>
            </w:r>
            <w:r>
              <w:rPr>
                <w:sz w:val="21"/>
                <w:szCs w:val="21"/>
              </w:rPr>
              <w:t>0.32,0.64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TP Sequence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string e.g. “200,200,200,300,300,400”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 series of comma separated values, </w:t>
            </w:r>
            <w:r>
              <w:rPr>
                <w:sz w:val="21"/>
                <w:szCs w:val="21"/>
              </w:rPr>
              <w:t>in order from first to last,</w:t>
            </w:r>
            <w:r>
              <w:rPr>
                <w:sz w:val="21"/>
                <w:szCs w:val="21"/>
              </w:rPr>
              <w:t xml:space="preserve"> denoting the Take profit of a trade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500,500,500,500,500,500,500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SL Sequence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string e.g. “100,100,100,200,200,300”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 series of comma separated values, </w:t>
            </w:r>
            <w:r>
              <w:rPr>
                <w:sz w:val="21"/>
                <w:szCs w:val="21"/>
              </w:rPr>
              <w:t>in order from first to last,</w:t>
            </w:r>
            <w:r>
              <w:rPr>
                <w:sz w:val="21"/>
                <w:szCs w:val="21"/>
              </w:rPr>
              <w:t xml:space="preserve"> denoting the Stop loss of a trade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500,500,500,500,500,500,500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Max</w:t>
            </w:r>
            <w:r>
              <w:rPr>
                <w:b/>
                <w:bCs/>
                <w:sz w:val="21"/>
                <w:szCs w:val="21"/>
              </w:rPr>
              <w:t>imum</w:t>
            </w:r>
            <w:r>
              <w:rPr>
                <w:b/>
                <w:bCs/>
                <w:sz w:val="21"/>
                <w:szCs w:val="21"/>
              </w:rPr>
              <w:t xml:space="preserve"> increment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– 100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An integer </w:t>
            </w:r>
            <w:r>
              <w:rPr>
                <w:sz w:val="21"/>
                <w:szCs w:val="21"/>
              </w:rPr>
              <w:t xml:space="preserve">which, if the </w:t>
            </w:r>
            <w:r>
              <w:rPr>
                <w:sz w:val="21"/>
                <w:szCs w:val="21"/>
                <w:u w:val="single"/>
              </w:rPr>
              <w:t>Rounded increment</w:t>
            </w:r>
            <w:r>
              <w:rPr>
                <w:sz w:val="21"/>
                <w:szCs w:val="21"/>
              </w:rPr>
              <w:t xml:space="preserve"> exceeds, causes the </w:t>
            </w:r>
            <w:r>
              <w:rPr>
                <w:b/>
                <w:bCs/>
                <w:sz w:val="21"/>
                <w:szCs w:val="21"/>
              </w:rPr>
              <w:t xml:space="preserve">End of sequence action </w:t>
            </w:r>
            <w:r>
              <w:rPr>
                <w:sz w:val="21"/>
                <w:szCs w:val="21"/>
              </w:rPr>
              <w:t>to trigger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End of sequence action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Restart / Hold / Exit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An instruction on what to do when the </w:t>
            </w:r>
            <w:r>
              <w:rPr>
                <w:sz w:val="21"/>
                <w:szCs w:val="21"/>
                <w:u w:val="single"/>
              </w:rPr>
              <w:t>Rounded increment</w:t>
            </w:r>
            <w:r>
              <w:rPr>
                <w:sz w:val="21"/>
                <w:szCs w:val="21"/>
                <w:u w:val="none"/>
              </w:rPr>
              <w:t xml:space="preserve"> </w:t>
            </w:r>
            <w:r>
              <w:rPr>
                <w:sz w:val="21"/>
                <w:szCs w:val="21"/>
              </w:rPr>
              <w:t xml:space="preserve">becomes greater than the </w:t>
            </w:r>
            <w:r>
              <w:rPr>
                <w:b/>
                <w:bCs/>
                <w:sz w:val="21"/>
                <w:szCs w:val="21"/>
              </w:rPr>
              <w:t>Maximum increment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Restart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MA Type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Simple / EMA / DEMA / TEMA / Linear </w:t>
            </w:r>
            <w:r>
              <w:rPr>
                <w:sz w:val="21"/>
                <w:szCs w:val="21"/>
              </w:rPr>
              <w:t xml:space="preserve">weighted </w:t>
            </w:r>
            <w:r>
              <w:rPr>
                <w:sz w:val="21"/>
                <w:szCs w:val="21"/>
              </w:rPr>
              <w:t>/ Smoothed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method to calculate the </w:t>
            </w:r>
            <w:r>
              <w:rPr>
                <w:sz w:val="21"/>
                <w:szCs w:val="21"/>
                <w:u w:val="single"/>
              </w:rPr>
              <w:t>Moving average</w:t>
            </w:r>
            <w:r>
              <w:rPr>
                <w:sz w:val="21"/>
                <w:szCs w:val="21"/>
              </w:rPr>
              <w:t>. Definitions for these types can be found in investopedia.com, and are available as indicators included in the base MLQ5 software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Simple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MA Length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 xml:space="preserve"> – 1000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How many candles of the current chart are to be used in calculating the </w:t>
            </w:r>
            <w:r>
              <w:rPr>
                <w:sz w:val="21"/>
                <w:szCs w:val="21"/>
                <w:u w:val="single"/>
              </w:rPr>
              <w:t>Moving average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MA differential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 – 10000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 distance in pips to be added to the </w:t>
            </w:r>
            <w:r>
              <w:rPr>
                <w:sz w:val="21"/>
                <w:szCs w:val="21"/>
                <w:u w:val="single"/>
              </w:rPr>
              <w:t>Moving average</w:t>
            </w:r>
            <w:r>
              <w:rPr>
                <w:sz w:val="21"/>
                <w:szCs w:val="21"/>
              </w:rPr>
              <w:t xml:space="preserve"> defining the </w:t>
            </w:r>
            <w:r>
              <w:rPr>
                <w:sz w:val="21"/>
                <w:szCs w:val="21"/>
                <w:u w:val="single"/>
              </w:rPr>
              <w:t>MA Upper</w:t>
            </w:r>
            <w:r>
              <w:rPr>
                <w:sz w:val="21"/>
                <w:szCs w:val="21"/>
                <w:u w:val="none"/>
              </w:rPr>
              <w:t xml:space="preserve"> </w:t>
            </w:r>
            <w:r>
              <w:rPr>
                <w:sz w:val="21"/>
                <w:szCs w:val="21"/>
              </w:rPr>
              <w:t xml:space="preserve">and </w:t>
            </w:r>
            <w:r>
              <w:rPr>
                <w:sz w:val="21"/>
                <w:szCs w:val="21"/>
                <w:u w:val="single"/>
              </w:rPr>
              <w:t>MA Lower boundary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Differential qualifier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Beyond / </w:t>
            </w:r>
            <w:r>
              <w:rPr>
                <w:sz w:val="21"/>
                <w:szCs w:val="21"/>
              </w:rPr>
              <w:t>Within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Whether trades can only be opened when the current price is </w:t>
            </w:r>
            <w:r>
              <w:rPr>
                <w:sz w:val="21"/>
                <w:szCs w:val="21"/>
              </w:rPr>
              <w:t>outside the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u w:val="single"/>
              </w:rPr>
              <w:t>MA Upper boundary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and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u w:val="single"/>
              </w:rPr>
              <w:t>MA Lower boundary</w:t>
            </w:r>
            <w:r>
              <w:rPr>
                <w:sz w:val="21"/>
                <w:szCs w:val="21"/>
              </w:rPr>
              <w:t xml:space="preserve">, or between </w:t>
            </w:r>
            <w:r>
              <w:rPr>
                <w:sz w:val="21"/>
                <w:szCs w:val="21"/>
              </w:rPr>
              <w:t>them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Beyond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Win increment multiplier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-100.0 – +100.0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When a trade exits profitably, multiply the increment by this number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Win increment addition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-100.0 – +100.0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When a trade exits profitably, add this to the increment number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Loss increment multiplier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-100.0 – +100.0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When a trade exits in loss, multiply the increment by this number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Loss increment addition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-100.0 – +100.0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When a trade exits in loss, add this to the increment number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Open trades on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Tick / Candle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 instruction to check to open new trades each tick or on the open of a new candle on the chart the program is attached to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Tick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Max spread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 – 1000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 integer saying the maximum acceptable spread beyond which opening new trades is to be halted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Max session balance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 – </w:t>
            </w:r>
            <w:r>
              <w:rPr>
                <w:sz w:val="21"/>
                <w:szCs w:val="21"/>
              </w:rPr>
              <w:t>100000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number of points in profit which, if exceeded, causes the close of the session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100000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Min session balance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 xml:space="preserve">100000 – 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 number of points in loss which, if exceeded, causes the close of the session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100000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Daily session open time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 – 2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An hour each day when the </w:t>
            </w:r>
            <w:r>
              <w:rPr>
                <w:sz w:val="21"/>
                <w:szCs w:val="21"/>
                <w:u w:val="single"/>
              </w:rPr>
              <w:t>Session</w:t>
            </w:r>
            <w:r>
              <w:rPr>
                <w:sz w:val="21"/>
                <w:szCs w:val="21"/>
              </w:rPr>
              <w:t xml:space="preserve"> should be set to open. 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Daily session close time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 – 24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An hour each day when the </w:t>
            </w:r>
            <w:r>
              <w:rPr>
                <w:sz w:val="21"/>
                <w:szCs w:val="21"/>
                <w:u w:val="single"/>
              </w:rPr>
              <w:t>Session</w:t>
            </w:r>
            <w:r>
              <w:rPr>
                <w:sz w:val="21"/>
                <w:szCs w:val="21"/>
              </w:rPr>
              <w:t xml:space="preserve"> should be set to closed. Please note </w:t>
            </w:r>
            <w:r>
              <w:rPr>
                <w:sz w:val="21"/>
                <w:szCs w:val="21"/>
              </w:rPr>
              <w:t xml:space="preserve">though </w:t>
            </w:r>
            <w:r>
              <w:rPr>
                <w:sz w:val="21"/>
                <w:szCs w:val="21"/>
              </w:rPr>
              <w:t>24:</w:t>
            </w:r>
            <w:r>
              <w:rPr>
                <w:sz w:val="21"/>
                <w:szCs w:val="21"/>
              </w:rPr>
              <w:t>00 is not a time,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it is </w:t>
            </w:r>
            <w:r>
              <w:rPr>
                <w:sz w:val="21"/>
                <w:szCs w:val="21"/>
              </w:rPr>
              <w:t xml:space="preserve">intentionally </w:t>
            </w:r>
            <w:r>
              <w:rPr>
                <w:sz w:val="21"/>
                <w:szCs w:val="21"/>
              </w:rPr>
              <w:t>included so that it is possible for the session not to be closed in this way.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Trade on Monday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 / No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Whether sessions can be opened on Mondays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Trade on Tuesday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 / No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Whether sessions can be opened on Tuesdays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Trade on Wednesday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 / No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Whether sessions can be opened on Wednesdays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Trade on Thursday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 / No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Whether sessions can be opened on Thursdays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Trade on Friday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 / No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Whether sessions can be opened on Fridays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</w:tr>
      <w:tr>
        <w:trPr/>
        <w:tc>
          <w:tcPr>
            <w:tcW w:w="17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Initial session status</w:t>
            </w:r>
          </w:p>
        </w:tc>
        <w:tc>
          <w:tcPr>
            <w:tcW w:w="17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Open / closed</w:t>
            </w:r>
          </w:p>
        </w:tc>
        <w:tc>
          <w:tcPr>
            <w:tcW w:w="594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Whether on initialisation, the Session should be set as open (allowing trading immediately) or closed.</w:t>
            </w:r>
          </w:p>
        </w:tc>
        <w:tc>
          <w:tcPr>
            <w:tcW w:w="133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closed</w:t>
            </w:r>
          </w:p>
        </w:tc>
      </w:tr>
    </w:tbl>
    <w:p>
      <w:pPr>
        <w:pStyle w:val="Normal"/>
        <w:bidi w:val="0"/>
        <w:jc w:val="start"/>
        <w:rPr/>
      </w:pPr>
      <w:r>
        <w:rPr/>
      </w:r>
      <w:r>
        <w:br w:type="page"/>
      </w:r>
    </w:p>
    <w:p>
      <w:pPr>
        <w:pStyle w:val="Heading2"/>
        <w:bidi w:val="0"/>
        <w:ind w:hanging="0" w:start="0"/>
        <w:jc w:val="start"/>
        <w:rPr/>
      </w:pPr>
      <w:r>
        <w:rPr/>
        <w:t>Key points of function</w:t>
      </w:r>
    </w:p>
    <w:p>
      <w:pPr>
        <w:pStyle w:val="Normal"/>
        <w:bidi w:val="0"/>
        <w:jc w:val="start"/>
        <w:rPr/>
      </w:pPr>
      <w:r>
        <w:rPr/>
        <w:t xml:space="preserve">I am open to different ways of achieving the following, </w:t>
      </w:r>
      <w:r>
        <w:rPr/>
        <w:t xml:space="preserve">But the following is the key requirements of functioning. </w:t>
      </w:r>
      <w:r>
        <w:rPr/>
        <w:t xml:space="preserve">Proposed system variables are </w:t>
      </w:r>
      <w:r>
        <w:rPr>
          <w:u w:val="single"/>
        </w:rPr>
        <w:t>Underlined</w:t>
      </w:r>
      <w:r>
        <w:rPr/>
        <w:t xml:space="preserve">. User inputs are in </w:t>
      </w:r>
      <w:r>
        <w:rPr>
          <w:b/>
          <w:bCs/>
        </w:rPr>
        <w:t>Bold</w:t>
      </w:r>
      <w:r>
        <w:rPr/>
        <w:t>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Heading3"/>
        <w:bidi w:val="0"/>
        <w:ind w:hanging="0" w:start="0"/>
        <w:jc w:val="start"/>
        <w:rPr/>
      </w:pPr>
      <w:r>
        <w:rPr/>
        <w:t>Session management</w:t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49"/>
        <w:gridCol w:w="10323"/>
      </w:tblGrid>
      <w:tr>
        <w:trPr/>
        <w:tc>
          <w:tcPr>
            <w:tcW w:w="4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1.1</w:t>
            </w:r>
          </w:p>
        </w:tc>
        <w:tc>
          <w:tcPr>
            <w:tcW w:w="103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When the program is first loaded onto a chart, if </w:t>
            </w:r>
            <w:r>
              <w:rPr>
                <w:b/>
                <w:bCs/>
                <w:sz w:val="24"/>
                <w:szCs w:val="24"/>
              </w:rPr>
              <w:t>Initial session status</w:t>
            </w:r>
            <w:r>
              <w:rPr/>
              <w:t xml:space="preserve"> is set as “open”, the </w:t>
            </w:r>
            <w:r>
              <w:rPr>
                <w:u w:val="single"/>
              </w:rPr>
              <w:t>Session</w:t>
            </w:r>
            <w:r>
              <w:rPr/>
              <w:t xml:space="preserve"> must be set to open so the program is able to look for valid entries immediately after initialisation.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1.</w:t>
            </w:r>
            <w:r>
              <w:rPr/>
              <w:t>2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When the hour </w:t>
            </w:r>
            <w:r>
              <w:rPr/>
              <w:t xml:space="preserve">of the day = </w:t>
            </w:r>
            <w:r>
              <w:rPr>
                <w:b/>
                <w:bCs/>
              </w:rPr>
              <w:t>Daily session open time</w:t>
            </w:r>
            <w:r>
              <w:rPr/>
              <w:t xml:space="preserve">, a new </w:t>
            </w:r>
            <w:r>
              <w:rPr>
                <w:u w:val="single"/>
              </w:rPr>
              <w:t>S</w:t>
            </w:r>
            <w:r>
              <w:rPr>
                <w:u w:val="single"/>
              </w:rPr>
              <w:t>ession</w:t>
            </w:r>
            <w:r>
              <w:rPr/>
              <w:t xml:space="preserve"> is opened </w:t>
            </w:r>
            <w:r>
              <w:rPr/>
              <w:t xml:space="preserve">if the day is </w:t>
            </w:r>
            <w:r>
              <w:rPr/>
              <w:t xml:space="preserve">valid as per </w:t>
            </w:r>
            <w:r>
              <w:rPr>
                <w:b/>
                <w:bCs/>
              </w:rPr>
              <w:t>Trade on [Mon/Tue/Wed/Thur/Fri].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1.</w:t>
            </w:r>
            <w:r>
              <w:rPr/>
              <w:t>3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When the hour </w:t>
            </w:r>
            <w:r>
              <w:rPr/>
              <w:t xml:space="preserve">of the day = </w:t>
            </w:r>
            <w:r>
              <w:rPr>
                <w:b/>
                <w:bCs/>
              </w:rPr>
              <w:t xml:space="preserve">Daily session </w:t>
            </w:r>
            <w:r>
              <w:rPr>
                <w:b/>
                <w:bCs/>
              </w:rPr>
              <w:t>close</w:t>
            </w:r>
            <w:r>
              <w:rPr>
                <w:b/>
                <w:bCs/>
              </w:rPr>
              <w:t xml:space="preserve"> time</w:t>
            </w:r>
            <w:r>
              <w:rPr/>
              <w:t>, a</w:t>
            </w:r>
            <w:r>
              <w:rPr/>
              <w:t>n</w:t>
            </w:r>
            <w:r>
              <w:rPr/>
              <w:t xml:space="preserve"> </w:t>
            </w:r>
            <w:r>
              <w:rPr/>
              <w:t xml:space="preserve">open </w:t>
            </w:r>
            <w:r>
              <w:rPr>
                <w:u w:val="single"/>
              </w:rPr>
              <w:t>Session</w:t>
            </w:r>
            <w:r>
              <w:rPr/>
              <w:t xml:space="preserve"> is </w:t>
            </w:r>
            <w:r>
              <w:rPr/>
              <w:t xml:space="preserve">closed </w:t>
            </w:r>
            <w:r>
              <w:rPr/>
              <w:t xml:space="preserve">irrespective of if the day is valid as per </w:t>
            </w:r>
            <w:r>
              <w:rPr>
                <w:b/>
                <w:bCs/>
              </w:rPr>
              <w:t>Trade on [Mon/Tue/Wed/Thur/Fri].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1.</w:t>
            </w:r>
            <w:r>
              <w:rPr/>
              <w:t>4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If the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Daily session </w:t>
            </w:r>
            <w:r>
              <w:rPr>
                <w:b/>
                <w:bCs/>
              </w:rPr>
              <w:t>close</w:t>
            </w:r>
            <w:r>
              <w:rPr>
                <w:b/>
                <w:bCs/>
              </w:rPr>
              <w:t xml:space="preserve"> time</w:t>
            </w:r>
            <w:r>
              <w:rPr/>
              <w:t xml:space="preserve"> </w:t>
            </w:r>
            <w:r>
              <w:rPr/>
              <w:t xml:space="preserve">= the </w:t>
            </w:r>
            <w:r>
              <w:rPr>
                <w:b/>
                <w:bCs/>
              </w:rPr>
              <w:t>Daily session open time</w:t>
            </w:r>
            <w:r>
              <w:rPr/>
              <w:t xml:space="preserve">, </w:t>
            </w:r>
            <w:r>
              <w:rPr/>
              <w:t xml:space="preserve">the </w:t>
            </w:r>
            <w:r>
              <w:rPr>
                <w:u w:val="single"/>
              </w:rPr>
              <w:t>S</w:t>
            </w:r>
            <w:r>
              <w:rPr>
                <w:u w:val="single"/>
              </w:rPr>
              <w:t>ession</w:t>
            </w:r>
            <w:r>
              <w:rPr/>
              <w:t xml:space="preserve"> is </w:t>
            </w:r>
            <w:r>
              <w:rPr/>
              <w:t xml:space="preserve">closed then immediately reopened, refreshing the </w:t>
            </w:r>
            <w:r>
              <w:rPr>
                <w:u w:val="single"/>
              </w:rPr>
              <w:t>Session balance</w:t>
            </w:r>
            <w:r>
              <w:rPr>
                <w:u w:val="none"/>
              </w:rPr>
              <w:t xml:space="preserve"> </w:t>
            </w:r>
            <w:r>
              <w:rPr/>
              <w:t xml:space="preserve">and resetting the </w:t>
            </w:r>
            <w:r>
              <w:rPr>
                <w:u w:val="single"/>
              </w:rPr>
              <w:t>Increment</w:t>
            </w:r>
            <w:r>
              <w:rPr/>
              <w:t>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1.</w:t>
            </w:r>
            <w:r>
              <w:rPr/>
              <w:t>5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Daily session open and close functions </w:t>
            </w:r>
            <w:r>
              <w:rPr/>
              <w:t xml:space="preserve">happen </w:t>
            </w:r>
            <w:r>
              <w:rPr/>
              <w:t xml:space="preserve">independently </w:t>
            </w:r>
            <w:r>
              <w:rPr/>
              <w:t xml:space="preserve">of the time frame of the chart the program is attached to. </w:t>
            </w:r>
            <w:r>
              <w:rPr/>
              <w:t>So if the chart is H8, and the open time is 4am, the program will begin looking to open trades at 4am, not 8am.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1.</w:t>
            </w:r>
            <w:r>
              <w:rPr/>
              <w:t>6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When a </w:t>
            </w:r>
            <w:r>
              <w:rPr>
                <w:u w:val="single"/>
              </w:rPr>
              <w:t>Session</w:t>
            </w:r>
            <w:r>
              <w:rPr/>
              <w:t xml:space="preserve"> is opened / refreshed, </w:t>
            </w:r>
            <w:r>
              <w:rPr/>
              <w:t>t</w:t>
            </w:r>
            <w:r>
              <w:rPr/>
              <w:t xml:space="preserve">he </w:t>
            </w:r>
            <w:r>
              <w:rPr>
                <w:u w:val="single"/>
              </w:rPr>
              <w:t>Session balance</w:t>
            </w:r>
            <w:r>
              <w:rPr/>
              <w:t xml:space="preserve"> </w:t>
            </w:r>
            <w:r>
              <w:rPr/>
              <w:t xml:space="preserve">and </w:t>
            </w:r>
            <w:r>
              <w:rPr>
                <w:u w:val="single"/>
              </w:rPr>
              <w:t>Increment</w:t>
            </w:r>
            <w:r>
              <w:rPr>
                <w:u w:val="none"/>
              </w:rPr>
              <w:t xml:space="preserve"> </w:t>
            </w:r>
            <w:r>
              <w:rPr/>
              <w:t>must be reset.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1.</w:t>
            </w:r>
            <w:r>
              <w:rPr/>
              <w:t>7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the </w:t>
            </w:r>
            <w:r>
              <w:rPr>
                <w:b/>
                <w:bCs/>
              </w:rPr>
              <w:t>Daily session close time</w:t>
            </w:r>
            <w:r>
              <w:rPr/>
              <w:t xml:space="preserve"> = 24, a number that cannot be reached, then once </w:t>
            </w:r>
            <w:r>
              <w:rPr/>
              <w:t xml:space="preserve">a </w:t>
            </w:r>
            <w:r>
              <w:rPr>
                <w:u w:val="single"/>
              </w:rPr>
              <w:t>Session</w:t>
            </w:r>
            <w:r>
              <w:rPr/>
              <w:t xml:space="preserve"> is</w:t>
            </w:r>
            <w:r>
              <w:rPr/>
              <w:t xml:space="preserve"> opened </w:t>
            </w:r>
            <w:r>
              <w:rPr/>
              <w:t xml:space="preserve">it </w:t>
            </w:r>
            <w:r>
              <w:rPr/>
              <w:t xml:space="preserve">cannot be closed by the </w:t>
            </w:r>
            <w:r>
              <w:rPr>
                <w:b/>
                <w:bCs/>
              </w:rPr>
              <w:t>Daily session close time</w:t>
            </w:r>
            <w:r>
              <w:rPr/>
              <w:t>, and this is intentional</w:t>
            </w:r>
            <w:r>
              <w:rPr/>
              <w:t>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1.</w:t>
            </w:r>
            <w:r>
              <w:rPr/>
              <w:t>8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The close of a </w:t>
            </w:r>
            <w:r>
              <w:rPr>
                <w:u w:val="single"/>
              </w:rPr>
              <w:t>S</w:t>
            </w:r>
            <w:r>
              <w:rPr>
                <w:u w:val="single"/>
              </w:rPr>
              <w:t>ession</w:t>
            </w:r>
            <w:r>
              <w:rPr/>
              <w:t xml:space="preserve"> does not close an active trade. </w:t>
            </w:r>
            <w:r>
              <w:rPr/>
              <w:t>Trades</w:t>
            </w:r>
            <w:r>
              <w:rPr/>
              <w:t xml:space="preserve"> must exit via Take, Stop, or manual cancellation.</w:t>
            </w:r>
          </w:p>
        </w:tc>
      </w:tr>
    </w:tbl>
    <w:p>
      <w:pPr>
        <w:pStyle w:val="TableContents"/>
        <w:bidi w:val="0"/>
        <w:jc w:val="start"/>
        <w:rPr/>
      </w:pPr>
      <w:r>
        <w:rPr/>
      </w:r>
    </w:p>
    <w:p>
      <w:pPr>
        <w:pStyle w:val="Heading3"/>
        <w:bidi w:val="0"/>
        <w:ind w:hanging="0" w:start="0"/>
        <w:jc w:val="start"/>
        <w:rPr/>
      </w:pPr>
      <w:r>
        <w:rPr/>
        <w:t>Calculating the Moving average</w:t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49"/>
        <w:gridCol w:w="10323"/>
      </w:tblGrid>
      <w:tr>
        <w:trPr/>
        <w:tc>
          <w:tcPr>
            <w:tcW w:w="4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2.1</w:t>
            </w:r>
          </w:p>
        </w:tc>
        <w:tc>
          <w:tcPr>
            <w:tcW w:w="103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The </w:t>
            </w:r>
            <w:r>
              <w:rPr>
                <w:u w:val="single"/>
              </w:rPr>
              <w:t>Moving average</w:t>
            </w:r>
            <w:r>
              <w:rPr/>
              <w:t xml:space="preserve">, </w:t>
            </w:r>
            <w:r>
              <w:rPr>
                <w:u w:val="single"/>
              </w:rPr>
              <w:t>MA Upper</w:t>
            </w:r>
            <w:r>
              <w:rPr/>
              <w:t xml:space="preserve">, and </w:t>
            </w:r>
            <w:r>
              <w:rPr>
                <w:u w:val="single"/>
              </w:rPr>
              <w:t>MA Lower</w:t>
            </w:r>
            <w:r>
              <w:rPr/>
              <w:t xml:space="preserve"> boundaries should be updated when looking to open a trade.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2.2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For efficiencies sake, there is no need to update them while a trade is active, while the session is closed, or multiple times per candle.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2.3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The </w:t>
            </w:r>
            <w:r>
              <w:rPr>
                <w:u w:val="single"/>
              </w:rPr>
              <w:t>Moving average</w:t>
            </w:r>
            <w:r>
              <w:rPr/>
              <w:t xml:space="preserve"> uses the time period and price data of the chart the program is attached to.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2.4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The </w:t>
            </w:r>
            <w:r>
              <w:rPr>
                <w:u w:val="single"/>
              </w:rPr>
              <w:t>Moving average</w:t>
            </w:r>
            <w:r>
              <w:rPr/>
              <w:t xml:space="preserve"> </w:t>
            </w:r>
            <w:r>
              <w:rPr/>
              <w:t>always uses the Close values of candles.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2.5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Whatever kind of </w:t>
            </w:r>
            <w:r>
              <w:rPr>
                <w:u w:val="single"/>
              </w:rPr>
              <w:t>Moving average</w:t>
            </w:r>
            <w:r>
              <w:rPr/>
              <w:t xml:space="preserve"> is selected, 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the </w:t>
            </w:r>
            <w:r>
              <w:rPr>
                <w:u w:val="single"/>
              </w:rPr>
              <w:t xml:space="preserve">MA Upper </w:t>
            </w:r>
            <w:r>
              <w:rPr>
                <w:u w:val="single"/>
              </w:rPr>
              <w:t>boundary</w:t>
            </w:r>
            <w:r>
              <w:rPr/>
              <w:t xml:space="preserve"> </w:t>
            </w:r>
            <w:r>
              <w:rPr/>
              <w:t xml:space="preserve">= the </w:t>
            </w:r>
            <w:r>
              <w:rPr>
                <w:u w:val="single"/>
              </w:rPr>
              <w:t>Moving average</w:t>
            </w:r>
            <w:r>
              <w:rPr/>
              <w:t xml:space="preserve"> + </w:t>
            </w:r>
            <w:r>
              <w:rPr>
                <w:b/>
                <w:bCs/>
              </w:rPr>
              <w:t>MA Differential</w:t>
            </w:r>
            <w:r>
              <w:rPr/>
              <w:t xml:space="preserve"> (in points)</w:t>
            </w:r>
          </w:p>
          <w:p>
            <w:pPr>
              <w:pStyle w:val="TableContents"/>
              <w:bidi w:val="0"/>
              <w:jc w:val="start"/>
              <w:rPr/>
            </w:pPr>
            <w:r>
              <w:rPr>
                <w:u w:val="none"/>
              </w:rPr>
              <w:t xml:space="preserve">the </w:t>
            </w:r>
            <w:r>
              <w:rPr>
                <w:u w:val="single"/>
              </w:rPr>
              <w:t xml:space="preserve">MA Lower </w:t>
            </w:r>
            <w:r>
              <w:rPr>
                <w:u w:val="single"/>
              </w:rPr>
              <w:t>boundary</w:t>
            </w:r>
            <w:r>
              <w:rPr/>
              <w:t xml:space="preserve"> </w:t>
            </w:r>
            <w:r>
              <w:rPr/>
              <w:t xml:space="preserve">= </w:t>
            </w:r>
            <w:r>
              <w:rPr/>
              <w:t xml:space="preserve">the </w:t>
            </w:r>
            <w:r>
              <w:rPr>
                <w:u w:val="single"/>
              </w:rPr>
              <w:t xml:space="preserve">Moving </w:t>
            </w:r>
            <w:r>
              <w:rPr>
                <w:u w:val="single"/>
              </w:rPr>
              <w:t>a</w:t>
            </w:r>
            <w:r>
              <w:rPr>
                <w:u w:val="single"/>
              </w:rPr>
              <w:t>verage</w:t>
            </w:r>
            <w:r>
              <w:rPr/>
              <w:t xml:space="preserve"> - </w:t>
            </w:r>
            <w:r>
              <w:rPr>
                <w:b/>
                <w:bCs/>
              </w:rPr>
              <w:t>MA Differential</w:t>
            </w:r>
            <w:r>
              <w:rPr/>
              <w:t xml:space="preserve"> (in points)</w:t>
            </w:r>
          </w:p>
        </w:tc>
      </w:tr>
    </w:tbl>
    <w:p>
      <w:pPr>
        <w:pStyle w:val="BodyText"/>
        <w:bidi w:val="0"/>
        <w:jc w:val="start"/>
        <w:rPr/>
      </w:pPr>
      <w:r>
        <w:rPr/>
      </w:r>
    </w:p>
    <w:p>
      <w:pPr>
        <w:pStyle w:val="Heading3"/>
        <w:bidi w:val="0"/>
        <w:ind w:hanging="0" w:start="0"/>
        <w:jc w:val="start"/>
        <w:rPr/>
      </w:pPr>
      <w:r>
        <w:rPr/>
        <w:t>Checking to o</w:t>
      </w:r>
      <w:r>
        <w:rPr/>
        <w:t xml:space="preserve">pening </w:t>
      </w:r>
      <w:r>
        <w:rPr/>
        <w:t xml:space="preserve">a </w:t>
      </w:r>
      <w:r>
        <w:rPr/>
        <w:t>trade</w:t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49"/>
        <w:gridCol w:w="10323"/>
      </w:tblGrid>
      <w:tr>
        <w:trPr/>
        <w:tc>
          <w:tcPr>
            <w:tcW w:w="4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3.1</w:t>
            </w:r>
          </w:p>
        </w:tc>
        <w:tc>
          <w:tcPr>
            <w:tcW w:w="103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the </w:t>
            </w:r>
            <w:r>
              <w:rPr>
                <w:u w:val="single"/>
              </w:rPr>
              <w:t>Session</w:t>
            </w:r>
            <w:r>
              <w:rPr/>
              <w:t xml:space="preserve"> is open and there is no trade active, the program is to </w:t>
            </w:r>
            <w:r>
              <w:rPr/>
              <w:t>check</w:t>
            </w:r>
            <w:r>
              <w:rPr/>
              <w:t xml:space="preserve"> to open a trade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</w:t>
            </w:r>
            <w:r>
              <w:rPr>
                <w:b/>
                <w:bCs/>
              </w:rPr>
              <w:t>Open trades on</w:t>
            </w:r>
            <w:r>
              <w:rPr/>
              <w:t xml:space="preserve"> = “Tick” then this must be </w:t>
            </w:r>
            <w:r>
              <w:rPr/>
              <w:t>checked</w:t>
            </w:r>
            <w:r>
              <w:rPr/>
              <w:t xml:space="preserve"> every tick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</w:t>
            </w:r>
            <w:r>
              <w:rPr>
                <w:b/>
                <w:bCs/>
              </w:rPr>
              <w:t>Open trades on</w:t>
            </w:r>
            <w:r>
              <w:rPr/>
              <w:t xml:space="preserve"> = “Candle” then this must be </w:t>
            </w:r>
            <w:r>
              <w:rPr/>
              <w:t xml:space="preserve">checked </w:t>
            </w:r>
            <w:r>
              <w:rPr/>
              <w:t xml:space="preserve">at the start of every candle, </w:t>
            </w:r>
            <w:r>
              <w:rPr/>
              <w:t xml:space="preserve">including the candle the </w:t>
            </w:r>
            <w:r>
              <w:rPr>
                <w:b w:val="false"/>
                <w:bCs w:val="false"/>
                <w:u w:val="single"/>
              </w:rPr>
              <w:t>Session</w:t>
            </w:r>
            <w:r>
              <w:rPr>
                <w:b w:val="false"/>
                <w:bCs w:val="false"/>
                <w:u w:val="none"/>
              </w:rPr>
              <w:t xml:space="preserve"> </w:t>
            </w:r>
            <w:r>
              <w:rPr/>
              <w:t>opens on.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</w:t>
            </w:r>
            <w:r>
              <w:rPr/>
              <w:t>both</w:t>
            </w:r>
            <w:r>
              <w:rPr/>
              <w:t xml:space="preserve"> criteria </w:t>
            </w:r>
            <w:r>
              <w:rPr/>
              <w:t>below</w:t>
            </w:r>
            <w:r>
              <w:rPr/>
              <w:t xml:space="preserve"> are met, a new trade should be opened immediately / as soon as possible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3.2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the spread is above </w:t>
            </w:r>
            <w:r>
              <w:rPr>
                <w:b/>
                <w:bCs/>
              </w:rPr>
              <w:t>Max spread</w:t>
            </w:r>
            <w:r>
              <w:rPr/>
              <w:t>, no trades should be opened (but can be closed).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3.</w:t>
            </w:r>
            <w:r>
              <w:rPr/>
              <w:t>3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</w:t>
            </w:r>
            <w:r>
              <w:rPr>
                <w:b/>
                <w:bCs/>
              </w:rPr>
              <w:t>Differential qualifier</w:t>
            </w:r>
            <w:r>
              <w:rPr/>
              <w:t xml:space="preserve"> = “Beyond”, then the current mid-price must be </w:t>
            </w:r>
            <w:r>
              <w:rPr/>
              <w:t xml:space="preserve">equal to or </w:t>
            </w:r>
            <w:r>
              <w:rPr/>
              <w:t xml:space="preserve">above the </w:t>
            </w:r>
            <w:r>
              <w:rPr>
                <w:u w:val="single"/>
              </w:rPr>
              <w:t>MA Upper boundary,</w:t>
            </w:r>
            <w:r>
              <w:rPr/>
              <w:t xml:space="preserve"> </w:t>
            </w:r>
            <w:r>
              <w:rPr>
                <w:i/>
                <w:iCs/>
              </w:rPr>
              <w:t>or,</w:t>
            </w:r>
            <w:r>
              <w:rPr/>
              <w:t xml:space="preserve"> </w:t>
            </w:r>
            <w:r>
              <w:rPr/>
              <w:t xml:space="preserve">equal to or </w:t>
            </w:r>
            <w:r>
              <w:rPr/>
              <w:t xml:space="preserve">below the </w:t>
            </w:r>
            <w:r>
              <w:rPr>
                <w:u w:val="single"/>
              </w:rPr>
              <w:t>MA Lower boundary</w:t>
            </w:r>
            <w:r>
              <w:rPr/>
              <w:t xml:space="preserve"> to be valid. </w:t>
            </w:r>
            <w:r>
              <w:rPr/>
              <w:t xml:space="preserve">Therefore if the </w:t>
            </w:r>
            <w:r>
              <w:rPr>
                <w:b/>
                <w:bCs/>
              </w:rPr>
              <w:t>MA Differential</w:t>
            </w:r>
            <w:r>
              <w:rPr/>
              <w:t xml:space="preserve"> = 0, the program will always </w:t>
            </w:r>
            <w:r>
              <w:rPr/>
              <w:t>be able to open</w:t>
            </w:r>
            <w:r>
              <w:rPr/>
              <w:t>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3.</w:t>
            </w:r>
            <w:r>
              <w:rPr/>
              <w:t>4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</w:t>
            </w:r>
            <w:r>
              <w:rPr>
                <w:b/>
                <w:bCs/>
              </w:rPr>
              <w:t>Differential qualifier</w:t>
            </w:r>
            <w:r>
              <w:rPr/>
              <w:t xml:space="preserve"> = “Within”, then </w:t>
            </w:r>
            <w:r>
              <w:rPr/>
              <w:t>for the current price to be valid,</w:t>
            </w:r>
            <w:r>
              <w:rPr/>
              <w:t xml:space="preserve"> the current mid-price must be </w:t>
            </w:r>
            <w:r>
              <w:rPr/>
              <w:t xml:space="preserve">below </w:t>
            </w:r>
            <w:r>
              <w:rPr/>
              <w:t xml:space="preserve">the </w:t>
            </w:r>
            <w:r>
              <w:rPr>
                <w:u w:val="single"/>
              </w:rPr>
              <w:t>MA Upper boundary,</w:t>
            </w:r>
            <w:r>
              <w:rPr/>
              <w:t xml:space="preserve"> </w:t>
            </w:r>
            <w:r>
              <w:rPr>
                <w:i/>
                <w:iCs/>
              </w:rPr>
              <w:t>and,</w:t>
            </w:r>
            <w:r>
              <w:rPr/>
              <w:t xml:space="preserve"> </w:t>
            </w:r>
            <w:r>
              <w:rPr/>
              <w:t xml:space="preserve">above </w:t>
            </w:r>
            <w:r>
              <w:rPr/>
              <w:t xml:space="preserve">the </w:t>
            </w:r>
            <w:r>
              <w:rPr>
                <w:u w:val="single"/>
              </w:rPr>
              <w:t>MA Lower boundary</w:t>
            </w:r>
            <w:r>
              <w:rPr/>
              <w:t xml:space="preserve"> to be valid. </w:t>
            </w:r>
            <w:r>
              <w:rPr/>
              <w:t xml:space="preserve">Therefore if the </w:t>
            </w:r>
            <w:r>
              <w:rPr>
                <w:b/>
                <w:bCs/>
              </w:rPr>
              <w:t>MA Differential</w:t>
            </w:r>
            <w:r>
              <w:rPr/>
              <w:t xml:space="preserve"> = 0, the program will never </w:t>
            </w:r>
            <w:r>
              <w:rPr/>
              <w:t>be able to open</w:t>
            </w:r>
            <w:r>
              <w:rPr/>
              <w:t>.</w:t>
            </w:r>
            <w:r>
              <w:rPr/>
              <w:t xml:space="preserve"> </w:t>
            </w:r>
          </w:p>
        </w:tc>
      </w:tr>
    </w:tbl>
    <w:p>
      <w:pPr>
        <w:pStyle w:val="BodyText"/>
        <w:bidi w:val="0"/>
        <w:spacing w:lineRule="auto" w:line="276" w:before="0" w:after="140"/>
        <w:jc w:val="start"/>
        <w:rPr/>
      </w:pPr>
      <w:r>
        <w:rPr/>
      </w:r>
    </w:p>
    <w:p>
      <w:pPr>
        <w:pStyle w:val="Heading3"/>
        <w:bidi w:val="0"/>
        <w:ind w:hanging="0" w:start="0"/>
        <w:jc w:val="start"/>
        <w:rPr/>
      </w:pPr>
      <w:r>
        <w:rPr/>
        <w:t>Opening a trade</w:t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49"/>
        <w:gridCol w:w="10323"/>
      </w:tblGrid>
      <w:tr>
        <w:trPr/>
        <w:tc>
          <w:tcPr>
            <w:tcW w:w="4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4.1</w:t>
            </w:r>
          </w:p>
        </w:tc>
        <w:tc>
          <w:tcPr>
            <w:tcW w:w="103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Whether the trade is </w:t>
            </w:r>
            <w:r>
              <w:rPr/>
              <w:t xml:space="preserve">to </w:t>
            </w:r>
            <w:r>
              <w:rPr/>
              <w:t xml:space="preserve">buy or sell depends on </w:t>
            </w:r>
            <w:r>
              <w:rPr>
                <w:b/>
                <w:bCs/>
              </w:rPr>
              <w:t>Trade direction</w:t>
            </w:r>
            <w:r>
              <w:rPr/>
              <w:t>: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>If “Buy”, make a buy order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>If “Sell”, make a sell order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“Converge”, buy/sell toward the </w:t>
            </w:r>
            <w:r>
              <w:rPr>
                <w:u w:val="single"/>
              </w:rPr>
              <w:t>Moving average:</w:t>
            </w:r>
            <w:r>
              <w:rPr/>
              <w:t xml:space="preserve"> </w:t>
            </w:r>
          </w:p>
          <w:p>
            <w:pPr>
              <w:pStyle w:val="TableContents"/>
              <w:numPr>
                <w:ilvl w:val="0"/>
                <w:numId w:val="2"/>
              </w:numPr>
              <w:bidi w:val="0"/>
              <w:jc w:val="start"/>
              <w:rPr/>
            </w:pPr>
            <w:r>
              <w:rPr/>
              <w:t xml:space="preserve">So if the </w:t>
            </w:r>
            <w:r>
              <w:rPr>
                <w:u w:val="single"/>
              </w:rPr>
              <w:t>Moving average</w:t>
            </w:r>
            <w:r>
              <w:rPr/>
              <w:t xml:space="preserve"> is below the current </w:t>
            </w:r>
            <w:r>
              <w:rPr/>
              <w:t>mid-</w:t>
            </w:r>
            <w:r>
              <w:rPr/>
              <w:t>price, sell.</w:t>
            </w:r>
          </w:p>
          <w:p>
            <w:pPr>
              <w:pStyle w:val="TableContents"/>
              <w:numPr>
                <w:ilvl w:val="0"/>
                <w:numId w:val="2"/>
              </w:numPr>
              <w:bidi w:val="0"/>
              <w:jc w:val="start"/>
              <w:rPr/>
            </w:pPr>
            <w:r>
              <w:rPr/>
              <w:t xml:space="preserve">If the </w:t>
            </w:r>
            <w:r>
              <w:rPr>
                <w:u w:val="single"/>
              </w:rPr>
              <w:t>Moving average</w:t>
            </w:r>
            <w:r>
              <w:rPr/>
              <w:t xml:space="preserve"> is above the current </w:t>
            </w:r>
            <w:r>
              <w:rPr/>
              <w:t>mid-</w:t>
            </w:r>
            <w:r>
              <w:rPr/>
              <w:t>price, buy.</w:t>
            </w:r>
          </w:p>
          <w:p>
            <w:pPr>
              <w:pStyle w:val="TableContents"/>
              <w:numPr>
                <w:ilvl w:val="0"/>
                <w:numId w:val="2"/>
              </w:numPr>
              <w:bidi w:val="0"/>
              <w:jc w:val="start"/>
              <w:rPr/>
            </w:pPr>
            <w:r>
              <w:rPr/>
              <w:t xml:space="preserve">In the unlikely event the current mid-point = the </w:t>
            </w:r>
            <w:r>
              <w:rPr>
                <w:u w:val="single"/>
              </w:rPr>
              <w:t>Moving average</w:t>
            </w:r>
            <w:r>
              <w:rPr/>
              <w:t xml:space="preserve">, then do not </w:t>
            </w:r>
            <w:r>
              <w:rPr/>
              <w:t>open a trade</w:t>
            </w:r>
            <w:r>
              <w:rPr/>
              <w:t>.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“Diverge”, buy/sell away from the </w:t>
            </w:r>
            <w:r>
              <w:rPr>
                <w:u w:val="single"/>
              </w:rPr>
              <w:t>Moving average:</w:t>
            </w:r>
            <w:r>
              <w:rPr/>
              <w:t xml:space="preserve"> </w:t>
            </w:r>
          </w:p>
          <w:p>
            <w:pPr>
              <w:pStyle w:val="TableContents"/>
              <w:numPr>
                <w:ilvl w:val="0"/>
                <w:numId w:val="3"/>
              </w:numPr>
              <w:bidi w:val="0"/>
              <w:jc w:val="start"/>
              <w:rPr/>
            </w:pPr>
            <w:r>
              <w:rPr/>
              <w:t xml:space="preserve">So if the </w:t>
            </w:r>
            <w:r>
              <w:rPr>
                <w:u w:val="single"/>
              </w:rPr>
              <w:t>Moving average</w:t>
            </w:r>
            <w:r>
              <w:rPr/>
              <w:t xml:space="preserve"> is below the current </w:t>
            </w:r>
            <w:r>
              <w:rPr/>
              <w:t>mid-</w:t>
            </w:r>
            <w:r>
              <w:rPr/>
              <w:t>price, buy.</w:t>
            </w:r>
          </w:p>
          <w:p>
            <w:pPr>
              <w:pStyle w:val="TableContents"/>
              <w:numPr>
                <w:ilvl w:val="0"/>
                <w:numId w:val="3"/>
              </w:numPr>
              <w:bidi w:val="0"/>
              <w:jc w:val="start"/>
              <w:rPr/>
            </w:pPr>
            <w:r>
              <w:rPr/>
              <w:t xml:space="preserve">If the </w:t>
            </w:r>
            <w:r>
              <w:rPr>
                <w:u w:val="single"/>
              </w:rPr>
              <w:t>Moving average</w:t>
            </w:r>
            <w:r>
              <w:rPr/>
              <w:t xml:space="preserve"> is above the current </w:t>
            </w:r>
            <w:r>
              <w:rPr/>
              <w:t>mid-</w:t>
            </w:r>
            <w:r>
              <w:rPr/>
              <w:t xml:space="preserve">price, sell. </w:t>
            </w:r>
          </w:p>
          <w:p>
            <w:pPr>
              <w:pStyle w:val="TableContents"/>
              <w:numPr>
                <w:ilvl w:val="0"/>
                <w:numId w:val="3"/>
              </w:numPr>
              <w:bidi w:val="0"/>
              <w:jc w:val="start"/>
              <w:rPr/>
            </w:pPr>
            <w:r>
              <w:rPr/>
              <w:t>As before, if the current mid-</w:t>
            </w:r>
            <w:r>
              <w:rPr/>
              <w:t>price</w:t>
            </w:r>
            <w:r>
              <w:rPr/>
              <w:t xml:space="preserve"> = the </w:t>
            </w:r>
            <w:r>
              <w:rPr>
                <w:u w:val="single"/>
              </w:rPr>
              <w:t>Moving average</w:t>
            </w:r>
            <w:r>
              <w:rPr/>
              <w:t xml:space="preserve">, then do not </w:t>
            </w:r>
            <w:r>
              <w:rPr/>
              <w:t>open a trade</w:t>
            </w:r>
            <w:r>
              <w:rPr/>
              <w:t>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4.2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The stake per point for the trade depends on the </w:t>
            </w:r>
            <w:r>
              <w:rPr>
                <w:u w:val="single"/>
              </w:rPr>
              <w:t>Increment</w:t>
            </w:r>
            <w:r>
              <w:rPr/>
              <w:t xml:space="preserve"> rounded to the nearest integer and the </w:t>
            </w:r>
            <w:r>
              <w:rPr>
                <w:b/>
                <w:bCs/>
              </w:rPr>
              <w:t xml:space="preserve">Stake </w:t>
            </w:r>
            <w:r>
              <w:rPr>
                <w:b/>
                <w:bCs/>
              </w:rPr>
              <w:t>Sequence</w:t>
            </w:r>
            <w:r>
              <w:rPr/>
              <w:t xml:space="preserve">. The rounded </w:t>
            </w:r>
            <w:r>
              <w:rPr>
                <w:u w:val="single"/>
              </w:rPr>
              <w:t>Increment</w:t>
            </w:r>
            <w:r>
              <w:rPr/>
              <w:t xml:space="preserve"> is the position </w:t>
            </w:r>
            <w:r>
              <w:rPr/>
              <w:t xml:space="preserve">of the value </w:t>
            </w:r>
            <w:r>
              <w:rPr/>
              <w:t xml:space="preserve">in the </w:t>
            </w:r>
            <w:r>
              <w:rPr>
                <w:b/>
                <w:bCs/>
              </w:rPr>
              <w:t xml:space="preserve">Stake </w:t>
            </w:r>
            <w:r>
              <w:rPr>
                <w:b/>
                <w:bCs/>
              </w:rPr>
              <w:t>Sequence</w:t>
            </w:r>
            <w:r>
              <w:rPr/>
              <w:t xml:space="preserve"> to </w:t>
            </w:r>
            <w:r>
              <w:rPr/>
              <w:t>use</w:t>
            </w:r>
            <w:r>
              <w:rPr/>
              <w:t>.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This is to </w:t>
            </w:r>
            <w:r>
              <w:rPr/>
              <w:t xml:space="preserve">be </w:t>
            </w:r>
            <w:r>
              <w:rPr/>
              <w:t xml:space="preserve">read from left </w:t>
            </w:r>
            <w:r>
              <w:rPr/>
              <w:t>to</w:t>
            </w:r>
            <w:r>
              <w:rPr/>
              <w:t xml:space="preserve"> right, </w:t>
            </w:r>
            <w:r>
              <w:rPr/>
              <w:t>with the first comma separated value as 1.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     </w:t>
            </w:r>
            <w:r>
              <w:rPr/>
              <w:t xml:space="preserve">So for example if the </w:t>
            </w:r>
            <w:r>
              <w:rPr>
                <w:b/>
                <w:bCs/>
              </w:rPr>
              <w:t xml:space="preserve">Stake </w:t>
            </w:r>
            <w:r>
              <w:rPr>
                <w:b/>
                <w:bCs/>
              </w:rPr>
              <w:t>Sequence</w:t>
            </w:r>
            <w:r>
              <w:rPr/>
              <w:t xml:space="preserve"> = “0.01,0.02,0.04,0.08,0.16,0.32” and the Increment = 2.5, this rounds to 3, </w:t>
            </w:r>
            <w:r>
              <w:rPr/>
              <w:t>so</w:t>
            </w:r>
            <w:r>
              <w:rPr/>
              <w:t xml:space="preserve"> the </w:t>
            </w:r>
            <w:r>
              <w:rPr/>
              <w:t>stake should be the</w:t>
            </w:r>
            <w:r>
              <w:rPr/>
              <w:t xml:space="preserve"> third value </w:t>
            </w:r>
            <w:r>
              <w:rPr/>
              <w:t xml:space="preserve">in the sequence </w:t>
            </w:r>
            <w:r>
              <w:rPr/>
              <w:t xml:space="preserve">(0.04). 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4.3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The </w:t>
            </w:r>
            <w:r>
              <w:rPr/>
              <w:t xml:space="preserve">Take profit </w:t>
            </w:r>
            <w:r>
              <w:rPr/>
              <w:t xml:space="preserve">for the trade depends on the </w:t>
            </w:r>
            <w:r>
              <w:rPr>
                <w:u w:val="single"/>
              </w:rPr>
              <w:t>Increment</w:t>
            </w:r>
            <w:r>
              <w:rPr/>
              <w:t xml:space="preserve"> rounded to the nearest integer. </w:t>
            </w:r>
          </w:p>
          <w:p>
            <w:pPr>
              <w:pStyle w:val="TableContents"/>
              <w:bidi w:val="0"/>
              <w:jc w:val="start"/>
              <w:rPr/>
            </w:pPr>
            <w:r>
              <w:rPr>
                <w:b w:val="false"/>
                <w:bCs w:val="false"/>
              </w:rPr>
              <w:t xml:space="preserve">This time using the </w:t>
            </w:r>
            <w:r>
              <w:rPr>
                <w:b/>
                <w:bCs/>
              </w:rPr>
              <w:t xml:space="preserve">TP </w:t>
            </w:r>
            <w:r>
              <w:rPr>
                <w:b/>
                <w:bCs/>
              </w:rPr>
              <w:t>Sequence</w:t>
            </w:r>
            <w:r>
              <w:rPr/>
              <w:t xml:space="preserve">, </w:t>
            </w:r>
            <w:r>
              <w:rPr/>
              <w:t>t</w:t>
            </w:r>
            <w:r>
              <w:rPr/>
              <w:t xml:space="preserve">he rounded </w:t>
            </w:r>
            <w:r>
              <w:rPr>
                <w:u w:val="single"/>
              </w:rPr>
              <w:t>Increment</w:t>
            </w:r>
            <w:r>
              <w:rPr/>
              <w:t xml:space="preserve"> is the position </w:t>
            </w:r>
            <w:r>
              <w:rPr/>
              <w:t xml:space="preserve">of the value </w:t>
            </w:r>
            <w:r>
              <w:rPr/>
              <w:t xml:space="preserve">in the </w:t>
            </w:r>
            <w:r>
              <w:rPr>
                <w:b/>
                <w:bCs/>
              </w:rPr>
              <w:t xml:space="preserve">TP </w:t>
            </w:r>
            <w:r>
              <w:rPr>
                <w:b/>
                <w:bCs/>
              </w:rPr>
              <w:t>Sequence</w:t>
            </w:r>
            <w:r>
              <w:rPr/>
              <w:t xml:space="preserve"> to </w:t>
            </w:r>
            <w:r>
              <w:rPr/>
              <w:t>use</w:t>
            </w:r>
            <w:r>
              <w:rPr/>
              <w:t xml:space="preserve">. 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>All values are pips to be added to the current mid-price when buying, and subtracted from the mid-price when selling (as you would expect).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Again reading from left to right, </w:t>
            </w:r>
            <w:r>
              <w:rPr/>
              <w:t>with the first comma separated value as 1.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     </w:t>
            </w:r>
            <w:r>
              <w:rPr/>
              <w:t xml:space="preserve">So for example if the </w:t>
            </w:r>
            <w:r>
              <w:rPr>
                <w:b/>
                <w:bCs/>
              </w:rPr>
              <w:t>TP Sequence</w:t>
            </w:r>
            <w:r>
              <w:rPr/>
              <w:t xml:space="preserve"> = “</w:t>
            </w:r>
            <w:r>
              <w:rPr/>
              <w:t>500,500,500,400,300,200</w:t>
            </w:r>
            <w:r>
              <w:rPr/>
              <w:t>” and the Increment = 2.5, this rounds to 3, and the third value (</w:t>
            </w:r>
            <w:r>
              <w:rPr/>
              <w:t>500</w:t>
            </w:r>
            <w:r>
              <w:rPr/>
              <w:t>) should be used.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4.4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The Stop loss for the trade is exactly the same as the Take profit, except it of course compares the </w:t>
            </w:r>
            <w:r>
              <w:rPr>
                <w:u w:val="single"/>
              </w:rPr>
              <w:t>Increment</w:t>
            </w:r>
            <w:r>
              <w:rPr/>
              <w:t xml:space="preserve"> with the </w:t>
            </w:r>
            <w:r>
              <w:rPr>
                <w:b/>
                <w:bCs/>
              </w:rPr>
              <w:t>SL Sequence</w:t>
            </w:r>
            <w:r>
              <w:rPr/>
              <w:t>, and the pips value are to be subtracted from the mid-price when buying, and added when selling.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4.5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The program should only be able to have one trade at a time, so if one is successfully opened, the program must not open any others until it has closed it.</w:t>
            </w:r>
          </w:p>
        </w:tc>
      </w:tr>
    </w:tbl>
    <w:p>
      <w:pPr>
        <w:pStyle w:val="BodyText"/>
        <w:bidi w:val="0"/>
        <w:spacing w:lineRule="auto" w:line="276" w:before="0" w:after="140"/>
        <w:jc w:val="start"/>
        <w:rPr/>
      </w:pPr>
      <w:r>
        <w:rPr/>
      </w:r>
    </w:p>
    <w:p>
      <w:pPr>
        <w:pStyle w:val="Heading3"/>
        <w:bidi w:val="0"/>
        <w:ind w:hanging="0" w:start="0"/>
        <w:jc w:val="start"/>
        <w:rPr/>
      </w:pPr>
      <w:r>
        <w:rPr/>
        <w:t>Closing</w:t>
      </w:r>
      <w:r>
        <w:rPr/>
        <w:t xml:space="preserve"> </w:t>
      </w:r>
      <w:r>
        <w:rPr/>
        <w:t xml:space="preserve">a </w:t>
      </w:r>
      <w:r>
        <w:rPr/>
        <w:t>trade</w:t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49"/>
        <w:gridCol w:w="10323"/>
      </w:tblGrid>
      <w:tr>
        <w:trPr/>
        <w:tc>
          <w:tcPr>
            <w:tcW w:w="4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5.1</w:t>
            </w:r>
          </w:p>
        </w:tc>
        <w:tc>
          <w:tcPr>
            <w:tcW w:w="103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While a trade is active, the program should </w:t>
            </w:r>
            <w:r>
              <w:rPr/>
              <w:t xml:space="preserve">look </w:t>
            </w:r>
            <w:r>
              <w:rPr/>
              <w:t xml:space="preserve">to close it each </w:t>
            </w:r>
            <w:r>
              <w:rPr/>
              <w:t xml:space="preserve">time the market mid-point </w:t>
            </w:r>
            <w:r>
              <w:rPr/>
              <w:t xml:space="preserve">price </w:t>
            </w:r>
            <w:r>
              <w:rPr/>
              <w:t xml:space="preserve">moves (though it may be easier to </w:t>
            </w:r>
            <w:r>
              <w:rPr/>
              <w:t xml:space="preserve">just check every </w:t>
            </w:r>
            <w:r>
              <w:rPr/>
              <w:t>tick</w:t>
            </w:r>
            <w:r>
              <w:rPr/>
              <w:t>)</w:t>
            </w:r>
            <w:r>
              <w:rPr/>
              <w:t>.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This should carry on until the trade exits, and should not be stopped even if the </w:t>
            </w:r>
            <w:r>
              <w:rPr>
                <w:u w:val="single"/>
              </w:rPr>
              <w:t>Session</w:t>
            </w:r>
            <w:r>
              <w:rPr/>
              <w:t xml:space="preserve"> closes or the spread exceeds </w:t>
            </w:r>
            <w:r>
              <w:rPr>
                <w:b/>
                <w:bCs/>
              </w:rPr>
              <w:t>Max spread</w:t>
            </w:r>
            <w:r>
              <w:rPr>
                <w:b w:val="false"/>
                <w:bCs w:val="false"/>
              </w:rPr>
              <w:t>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5.2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As soon as the current mid-price meets or moves beyond either the Take profit price or the Stop loss price, the trade is to be closed.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5.3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Once done, the program will have won or lost a certain number of pips, this number is to be multiplied by the stake, and then added to the </w:t>
            </w:r>
            <w:r>
              <w:rPr>
                <w:u w:val="single"/>
              </w:rPr>
              <w:t>Session balance</w:t>
            </w:r>
            <w:r>
              <w:rPr/>
              <w:t xml:space="preserve">. If this causes the </w:t>
            </w:r>
            <w:r>
              <w:rPr>
                <w:u w:val="single"/>
              </w:rPr>
              <w:t>Session balance</w:t>
            </w:r>
            <w:r>
              <w:rPr/>
              <w:t xml:space="preserve"> to be greater than </w:t>
            </w:r>
            <w:r>
              <w:rPr>
                <w:b/>
                <w:bCs/>
              </w:rPr>
              <w:t>Max session balance</w:t>
            </w:r>
            <w:r>
              <w:rPr/>
              <w:t xml:space="preserve"> or lower than </w:t>
            </w:r>
            <w:r>
              <w:rPr>
                <w:b/>
                <w:bCs/>
              </w:rPr>
              <w:t>Min session balance</w:t>
            </w:r>
            <w:r>
              <w:rPr/>
              <w:t xml:space="preserve">, the </w:t>
            </w:r>
            <w:r>
              <w:rPr>
                <w:u w:val="single"/>
              </w:rPr>
              <w:t>Session</w:t>
            </w:r>
            <w:r>
              <w:rPr/>
              <w:t xml:space="preserve"> should immediately be closed.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5.4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the trade closed in profit the </w:t>
            </w:r>
            <w:r>
              <w:rPr>
                <w:u w:val="single"/>
              </w:rPr>
              <w:t>Increment</w:t>
            </w:r>
            <w:r>
              <w:rPr/>
              <w:t xml:space="preserve"> must first be multiplied by the </w:t>
            </w:r>
            <w:r>
              <w:rPr>
                <w:b/>
                <w:bCs/>
              </w:rPr>
              <w:t>Win increment multiplier</w:t>
            </w:r>
            <w:r>
              <w:rPr/>
              <w:t xml:space="preserve">, then have the </w:t>
            </w:r>
            <w:r>
              <w:rPr>
                <w:b/>
                <w:bCs/>
              </w:rPr>
              <w:t>Win increment addition</w:t>
            </w:r>
            <w:r>
              <w:rPr/>
              <w:t xml:space="preserve"> added to it.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5.5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the trade closed in loss the </w:t>
            </w:r>
            <w:r>
              <w:rPr>
                <w:u w:val="single"/>
              </w:rPr>
              <w:t>Increment</w:t>
            </w:r>
            <w:r>
              <w:rPr/>
              <w:t xml:space="preserve"> must first be multiplied by the </w:t>
            </w:r>
            <w:r>
              <w:rPr>
                <w:b/>
                <w:bCs/>
              </w:rPr>
              <w:t>Loss increment multiplier</w:t>
            </w:r>
            <w:r>
              <w:rPr/>
              <w:t xml:space="preserve">, then have the </w:t>
            </w:r>
            <w:r>
              <w:rPr>
                <w:b/>
                <w:bCs/>
              </w:rPr>
              <w:t>Loss increment addition</w:t>
            </w:r>
            <w:r>
              <w:rPr/>
              <w:t xml:space="preserve"> added to it.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5.6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After the </w:t>
            </w:r>
            <w:r>
              <w:rPr>
                <w:u w:val="single"/>
              </w:rPr>
              <w:t>Increment</w:t>
            </w:r>
            <w:r>
              <w:rPr/>
              <w:t xml:space="preserve"> has been modified by the outcome, if the closest integer it would round to is 0 or less, then the </w:t>
            </w:r>
            <w:r>
              <w:rPr>
                <w:u w:val="single"/>
              </w:rPr>
              <w:t>Increment</w:t>
            </w:r>
            <w:r>
              <w:rPr/>
              <w:t xml:space="preserve"> must be set to 1 </w:t>
            </w:r>
            <w:r>
              <w:rPr/>
              <w:t>instead</w:t>
            </w:r>
            <w:r>
              <w:rPr/>
              <w:t>.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If when rounded, the closest integer would be greater than the </w:t>
            </w:r>
            <w:r>
              <w:rPr>
                <w:b/>
                <w:bCs/>
              </w:rPr>
              <w:t>Maximum increment</w:t>
            </w:r>
            <w:r>
              <w:rPr/>
              <w:t xml:space="preserve">, the </w:t>
            </w:r>
            <w:r>
              <w:rPr>
                <w:b/>
                <w:bCs/>
              </w:rPr>
              <w:t>End of sequence action</w:t>
            </w:r>
            <w:r>
              <w:rPr/>
              <w:t xml:space="preserve"> must now be triggered.</w:t>
            </w:r>
          </w:p>
        </w:tc>
      </w:tr>
      <w:tr>
        <w:trPr/>
        <w:tc>
          <w:tcPr>
            <w:tcW w:w="44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5.7</w:t>
            </w:r>
          </w:p>
        </w:tc>
        <w:tc>
          <w:tcPr>
            <w:tcW w:w="103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 xml:space="preserve">When the </w:t>
            </w:r>
            <w:r>
              <w:rPr>
                <w:b/>
                <w:bCs/>
              </w:rPr>
              <w:t>End of Sequence action</w:t>
            </w:r>
            <w:r>
              <w:rPr/>
              <w:t xml:space="preserve"> is triggered:</w:t>
            </w:r>
          </w:p>
          <w:p>
            <w:pPr>
              <w:pStyle w:val="TableContents"/>
              <w:bidi w:val="0"/>
              <w:jc w:val="start"/>
              <w:rPr/>
            </w:pPr>
            <w:r>
              <w:rPr/>
              <w:t>If it is “</w:t>
            </w:r>
            <w:r>
              <w:rPr/>
              <w:t xml:space="preserve">Repeat”, set the </w:t>
            </w:r>
            <w:r>
              <w:rPr>
                <w:u w:val="single"/>
              </w:rPr>
              <w:t>Increment</w:t>
            </w:r>
            <w:r>
              <w:rPr/>
              <w:t xml:space="preserve"> to </w:t>
            </w:r>
            <w:r>
              <w:rPr>
                <w:b w:val="false"/>
                <w:bCs w:val="false"/>
              </w:rPr>
              <w:t>1.</w:t>
            </w:r>
          </w:p>
          <w:p>
            <w:pPr>
              <w:pStyle w:val="TableContents"/>
              <w:bidi w:val="0"/>
              <w:jc w:val="start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If it is “Hold”, set the </w:t>
            </w:r>
            <w:r>
              <w:rPr>
                <w:b w:val="false"/>
                <w:bCs w:val="false"/>
                <w:u w:val="single"/>
              </w:rPr>
              <w:t>Increment</w:t>
            </w:r>
            <w:r>
              <w:rPr>
                <w:b w:val="false"/>
                <w:bCs w:val="false"/>
              </w:rPr>
              <w:t xml:space="preserve"> to the </w:t>
            </w:r>
            <w:r>
              <w:rPr>
                <w:b/>
                <w:bCs/>
              </w:rPr>
              <w:t>Maximum increment</w:t>
            </w:r>
            <w:r>
              <w:rPr>
                <w:b w:val="false"/>
                <w:bCs w:val="false"/>
              </w:rPr>
              <w:t>.</w:t>
            </w:r>
          </w:p>
          <w:p>
            <w:pPr>
              <w:pStyle w:val="TableContents"/>
              <w:bidi w:val="0"/>
              <w:jc w:val="start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If it is “Exit”, close the </w:t>
            </w:r>
            <w:r>
              <w:rPr>
                <w:b w:val="false"/>
                <w:bCs w:val="false"/>
                <w:u w:val="single"/>
              </w:rPr>
              <w:t>S</w:t>
            </w:r>
            <w:r>
              <w:rPr>
                <w:b w:val="false"/>
                <w:bCs w:val="false"/>
                <w:u w:val="single"/>
              </w:rPr>
              <w:t>ession</w:t>
            </w:r>
            <w:r>
              <w:rPr>
                <w:b w:val="false"/>
                <w:bCs w:val="false"/>
              </w:rPr>
              <w:t>.</w:t>
            </w:r>
          </w:p>
        </w:tc>
      </w:tr>
    </w:tbl>
    <w:p>
      <w:pPr>
        <w:pStyle w:val="BodyText"/>
        <w:bidi w:val="0"/>
        <w:jc w:val="start"/>
        <w:rPr/>
      </w:pPr>
      <w:r>
        <w:rPr/>
      </w:r>
    </w:p>
    <w:p>
      <w:pPr>
        <w:pStyle w:val="Heading2"/>
        <w:bidi w:val="0"/>
        <w:ind w:hanging="0" w:start="0"/>
        <w:jc w:val="start"/>
        <w:rPr/>
      </w:pPr>
      <w:r>
        <w:rPr/>
        <w:t>Clarifications</w:t>
      </w:r>
    </w:p>
    <w:p>
      <w:pPr>
        <w:pStyle w:val="TableContents"/>
        <w:numPr>
          <w:ilvl w:val="0"/>
          <w:numId w:val="4"/>
        </w:numPr>
        <w:bidi w:val="0"/>
        <w:jc w:val="start"/>
        <w:rPr/>
      </w:pPr>
      <w:r>
        <w:rPr/>
        <w:t>The “Maximum increment” will always be equal to, or less than, the number of values in the three sequences.</w:t>
      </w:r>
    </w:p>
    <w:p>
      <w:pPr>
        <w:pStyle w:val="TableContents"/>
        <w:numPr>
          <w:ilvl w:val="0"/>
          <w:numId w:val="4"/>
        </w:numPr>
        <w:bidi w:val="0"/>
        <w:jc w:val="start"/>
        <w:rPr/>
      </w:pPr>
      <w:r>
        <w:rPr/>
        <w:t>If a trade is closed manually, the program should perform the same process as if it had closed via Take or Stop.</w:t>
      </w:r>
    </w:p>
    <w:p>
      <w:pPr>
        <w:pStyle w:val="TableContents"/>
        <w:numPr>
          <w:ilvl w:val="0"/>
          <w:numId w:val="4"/>
        </w:numPr>
        <w:bidi w:val="0"/>
        <w:jc w:val="start"/>
        <w:rPr/>
      </w:pPr>
      <w:r>
        <w:rPr/>
        <w:t>Any mention of price in this document refers to the market mid-price, not the actual buy / sell prices.</w:t>
      </w:r>
    </w:p>
    <w:p>
      <w:pPr>
        <w:pStyle w:val="TableContents"/>
        <w:numPr>
          <w:ilvl w:val="0"/>
          <w:numId w:val="4"/>
        </w:numPr>
        <w:bidi w:val="0"/>
        <w:jc w:val="start"/>
        <w:rPr/>
      </w:pPr>
      <w:r>
        <w:rPr/>
        <w:t>Trades can close any time, but can only be opened when the session is open.</w:t>
      </w:r>
    </w:p>
    <w:p>
      <w:pPr>
        <w:pStyle w:val="TableContents"/>
        <w:bidi w:val="0"/>
        <w:jc w:val="start"/>
        <w:rPr/>
      </w:pPr>
      <w:r>
        <w:rPr/>
      </w:r>
    </w:p>
    <w:sectPr>
      <w:type w:val="nextPage"/>
      <w:pgSz w:w="11906" w:h="16838"/>
      <w:pgMar w:left="567" w:right="567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 w:characterSet="windows-1252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LibreOffice/24.2.2.2$Windows_X86_64 LibreOffice_project/d56cc158d8a96260b836f100ef4b4ef25d6f1a01</Application>
  <AppVersion>15.0000</AppVersion>
  <Pages>5</Pages>
  <Words>2238</Words>
  <Characters>10324</Characters>
  <CharactersWithSpaces>12342</CharactersWithSpaces>
  <Paragraphs>245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2024-10-26T19:53:40Z</dcterms:created>
  <dc:creator/>
  <dc:description/>
  <dc:language>en-GB</dc:language>
  <cp:lastModifiedBy/>
  <dcterms:modified xsi:type="dcterms:W3CDTF">2024-11-01T13:19:25Z</dcterms:modified>
  <cp:revision>7</cp:revision>
  <dc:subject/>
  <dc:title/>
</cp:coreProperties>
</file>