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rPr>
      </w:pPr>
      <w:r w:rsidDel="00000000" w:rsidR="00000000" w:rsidRPr="00000000">
        <w:rPr>
          <w:b w:val="1"/>
          <w:rtl w:val="0"/>
        </w:rPr>
        <w:t xml:space="preserve">Существует 4 вида подтверждений:</w:t>
      </w:r>
    </w:p>
    <w:p w:rsidR="00000000" w:rsidDel="00000000" w:rsidP="00000000" w:rsidRDefault="00000000" w:rsidRPr="00000000" w14:paraId="00000002">
      <w:pPr>
        <w:rPr>
          <w:b w:val="1"/>
        </w:rPr>
      </w:pPr>
      <w:r w:rsidDel="00000000" w:rsidR="00000000" w:rsidRPr="00000000">
        <w:rPr>
          <w:rtl w:val="0"/>
        </w:rPr>
      </w:r>
    </w:p>
    <w:p w:rsidR="00000000" w:rsidDel="00000000" w:rsidP="00000000" w:rsidRDefault="00000000" w:rsidRPr="00000000" w14:paraId="00000003">
      <w:pPr>
        <w:numPr>
          <w:ilvl w:val="0"/>
          <w:numId w:val="4"/>
        </w:numPr>
        <w:ind w:left="720" w:hanging="360"/>
        <w:rPr>
          <w:u w:val="none"/>
        </w:rPr>
      </w:pPr>
      <w:r w:rsidDel="00000000" w:rsidR="00000000" w:rsidRPr="00000000">
        <w:rPr>
          <w:b w:val="1"/>
          <w:rtl w:val="0"/>
        </w:rPr>
        <w:t xml:space="preserve">BB касание</w:t>
      </w:r>
      <w:r w:rsidDel="00000000" w:rsidR="00000000" w:rsidRPr="00000000">
        <w:rPr>
          <w:rtl w:val="0"/>
        </w:rPr>
        <w:t xml:space="preserve"> - для RTV/RTVS/RTC сетапов (это разворотные сетапы, использующие комбинации свечей для торговли между верхней и нижней BB) - это подтверждение самое простое - если на m2 свеча коснулась верхней BB и начала формировать сетап на Sell, то на m5 и m10 тоже должно произойти касание верхней BB на текущей свече или 5 предыдущих. Для Buy все наоборот - касание нижней BB.</w:t>
      </w:r>
    </w:p>
    <w:p w:rsidR="00000000" w:rsidDel="00000000" w:rsidP="00000000" w:rsidRDefault="00000000" w:rsidRPr="00000000" w14:paraId="00000004">
      <w:pPr>
        <w:numPr>
          <w:ilvl w:val="0"/>
          <w:numId w:val="4"/>
        </w:numPr>
        <w:ind w:left="720" w:hanging="360"/>
        <w:rPr>
          <w:u w:val="none"/>
        </w:rPr>
      </w:pPr>
      <w:r w:rsidDel="00000000" w:rsidR="00000000" w:rsidRPr="00000000">
        <w:rPr>
          <w:b w:val="1"/>
          <w:rtl w:val="0"/>
        </w:rPr>
        <w:t xml:space="preserve">DV</w:t>
      </w:r>
      <w:r w:rsidDel="00000000" w:rsidR="00000000" w:rsidRPr="00000000">
        <w:rPr>
          <w:rtl w:val="0"/>
        </w:rPr>
        <w:t xml:space="preserve"> (Decreasing Volatility) - одно из самых сложных для понимания подтверждений и его расшифрую после определения понятий тренда, как правильно читать ATR и P2H (Pivot 2 High на ATR индикаторе). DV использует понятие Тренда (внизу) при одновременном чтении на этой же свече значения ATR.</w:t>
      </w:r>
    </w:p>
    <w:p w:rsidR="00000000" w:rsidDel="00000000" w:rsidP="00000000" w:rsidRDefault="00000000" w:rsidRPr="00000000" w14:paraId="00000005">
      <w:pPr>
        <w:numPr>
          <w:ilvl w:val="0"/>
          <w:numId w:val="4"/>
        </w:numPr>
        <w:ind w:left="720" w:hanging="360"/>
        <w:rPr>
          <w:u w:val="none"/>
        </w:rPr>
      </w:pPr>
      <w:r w:rsidDel="00000000" w:rsidR="00000000" w:rsidRPr="00000000">
        <w:rPr>
          <w:b w:val="1"/>
          <w:rtl w:val="0"/>
        </w:rPr>
        <w:t xml:space="preserve">Trend with Pullback</w:t>
      </w:r>
      <w:r w:rsidDel="00000000" w:rsidR="00000000" w:rsidRPr="00000000">
        <w:rPr>
          <w:rtl w:val="0"/>
        </w:rPr>
        <w:t xml:space="preserve">  - тренд с откатом к одной из EMA (должен сформироваться тренд и свеча должна коснуться либо зайти за EMA). </w:t>
      </w:r>
      <w:r w:rsidDel="00000000" w:rsidR="00000000" w:rsidRPr="00000000">
        <w:rPr>
          <w:b w:val="1"/>
          <w:rtl w:val="0"/>
        </w:rPr>
        <w:t xml:space="preserve">Важно</w:t>
      </w:r>
      <w:r w:rsidDel="00000000" w:rsidR="00000000" w:rsidRPr="00000000">
        <w:rPr>
          <w:rtl w:val="0"/>
        </w:rPr>
        <w:t xml:space="preserve">: касаться EMA может как текущая свеча, так и предыдущие внутри тренда. Также, цена может зайти вниз за обе EMA (при Up trend, например). Смотри примеры ниже.</w:t>
      </w:r>
    </w:p>
    <w:p w:rsidR="00000000" w:rsidDel="00000000" w:rsidP="00000000" w:rsidRDefault="00000000" w:rsidRPr="00000000" w14:paraId="00000006">
      <w:pPr>
        <w:numPr>
          <w:ilvl w:val="0"/>
          <w:numId w:val="4"/>
        </w:numPr>
        <w:ind w:left="720" w:hanging="360"/>
        <w:rPr>
          <w:u w:val="none"/>
        </w:rPr>
      </w:pPr>
      <w:r w:rsidDel="00000000" w:rsidR="00000000" w:rsidRPr="00000000">
        <w:rPr>
          <w:b w:val="1"/>
          <w:rtl w:val="0"/>
        </w:rPr>
        <w:t xml:space="preserve">Bollinger Walk</w:t>
      </w:r>
      <w:r w:rsidDel="00000000" w:rsidR="00000000" w:rsidRPr="00000000">
        <w:rPr>
          <w:rtl w:val="0"/>
        </w:rPr>
        <w:t xml:space="preserve"> (BBWalk) - самое простое подтверждение, используется только на м5-10 - цена должна закрыться за верхней (Buy orders) или нижней (Sell orders) BB. BBwalk сохраняется до тех пор, пока свеча полностью не закрылась внутри BB ( верхняя или нижняя тень должна находится ниже верхней/нижней линии BB)</w:t>
      </w:r>
    </w:p>
    <w:p w:rsidR="00000000" w:rsidDel="00000000" w:rsidP="00000000" w:rsidRDefault="00000000" w:rsidRPr="00000000" w14:paraId="00000007">
      <w:pPr>
        <w:rPr/>
      </w:pPr>
      <w:r w:rsidDel="00000000" w:rsidR="00000000" w:rsidRPr="00000000">
        <w:rPr>
          <w:rtl w:val="0"/>
        </w:rPr>
        <w:tab/>
      </w:r>
      <w:r w:rsidDel="00000000" w:rsidR="00000000" w:rsidRPr="00000000">
        <w:rPr>
          <w:b w:val="1"/>
          <w:highlight w:val="yellow"/>
          <w:rtl w:val="0"/>
        </w:rPr>
        <w:t xml:space="preserve">Важно:</w:t>
      </w:r>
      <w:r w:rsidDel="00000000" w:rsidR="00000000" w:rsidRPr="00000000">
        <w:rPr>
          <w:rtl w:val="0"/>
        </w:rPr>
        <w:t xml:space="preserve"> BBWalk заканчивается только после закрытия свечи на m5 или m10. Пока свеча работает и формируется, даже если видно что цена тени с большой вероятностью будет внутри BB мы считаем, что у нас есть подтверждение BBWalk до тех пор, пока свеча полностью не закроется. Другими словами ,если текущая цена работает, не важно где она сейчас. Мы оцениваем BBWalk по предыдущей свечи на m5, m10.</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t xml:space="preserve">Пример BB </w:t>
      </w:r>
    </w:p>
    <w:p w:rsidR="00000000" w:rsidDel="00000000" w:rsidP="00000000" w:rsidRDefault="00000000" w:rsidRPr="00000000" w14:paraId="0000000A">
      <w:pPr>
        <w:rPr/>
      </w:pPr>
      <w:r w:rsidDel="00000000" w:rsidR="00000000" w:rsidRPr="00000000">
        <w:rPr/>
        <w:drawing>
          <wp:inline distB="114300" distT="114300" distL="114300" distR="114300">
            <wp:extent cx="5943600" cy="4800600"/>
            <wp:effectExtent b="0" l="0" r="0" t="0"/>
            <wp:docPr id="5" name="image4.png"/>
            <a:graphic>
              <a:graphicData uri="http://schemas.openxmlformats.org/drawingml/2006/picture">
                <pic:pic>
                  <pic:nvPicPr>
                    <pic:cNvPr id="0" name="image4.png"/>
                    <pic:cNvPicPr preferRelativeResize="0"/>
                  </pic:nvPicPr>
                  <pic:blipFill>
                    <a:blip r:embed="rId6"/>
                    <a:srcRect b="0" l="0" r="0" t="0"/>
                    <a:stretch>
                      <a:fillRect/>
                    </a:stretch>
                  </pic:blipFill>
                  <pic:spPr>
                    <a:xfrm>
                      <a:off x="0" y="0"/>
                      <a:ext cx="5943600" cy="4800600"/>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t xml:space="preserve">Еще пример:</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drawing>
          <wp:inline distB="114300" distT="114300" distL="114300" distR="114300">
            <wp:extent cx="5943600" cy="4152900"/>
            <wp:effectExtent b="0" l="0" r="0" t="0"/>
            <wp:docPr id="3"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5943600" cy="4152900"/>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t xml:space="preserve">Для того, чтобы начать объяснение 2) и 3) подтверждений, нужно определить правила тренда:</w:t>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b w:val="1"/>
        </w:rPr>
      </w:pPr>
      <w:r w:rsidDel="00000000" w:rsidR="00000000" w:rsidRPr="00000000">
        <w:rPr>
          <w:b w:val="1"/>
          <w:rtl w:val="0"/>
        </w:rPr>
        <w:t xml:space="preserve">Тренд включается когда (на примере Up trend):</w:t>
      </w:r>
    </w:p>
    <w:p w:rsidR="00000000" w:rsidDel="00000000" w:rsidP="00000000" w:rsidRDefault="00000000" w:rsidRPr="00000000" w14:paraId="00000014">
      <w:pPr>
        <w:numPr>
          <w:ilvl w:val="0"/>
          <w:numId w:val="3"/>
        </w:numPr>
        <w:ind w:left="720" w:hanging="360"/>
        <w:rPr>
          <w:u w:val="none"/>
        </w:rPr>
      </w:pPr>
      <w:r w:rsidDel="00000000" w:rsidR="00000000" w:rsidRPr="00000000">
        <w:rPr>
          <w:rtl w:val="0"/>
        </w:rPr>
        <w:t xml:space="preserve">Происходит касание верхней BB</w:t>
      </w:r>
    </w:p>
    <w:p w:rsidR="00000000" w:rsidDel="00000000" w:rsidP="00000000" w:rsidRDefault="00000000" w:rsidRPr="00000000" w14:paraId="00000015">
      <w:pPr>
        <w:numPr>
          <w:ilvl w:val="0"/>
          <w:numId w:val="3"/>
        </w:numPr>
        <w:ind w:left="720" w:hanging="360"/>
        <w:rPr>
          <w:u w:val="none"/>
        </w:rPr>
      </w:pPr>
      <w:r w:rsidDel="00000000" w:rsidR="00000000" w:rsidRPr="00000000">
        <w:rPr>
          <w:rtl w:val="0"/>
        </w:rPr>
        <w:t xml:space="preserve">Первая свеча, у которой цена закрытия и High выше свечи касания 1) - формирует начало тренда ( между свечой касания 1) и свечой 2) не должно быть более 20 свечей - иначе тренд заканчивается). Если после касания 1) произошло еще одно касание той же BB (без новых High/Low цены закрытия и тени), то счет </w:t>
      </w:r>
      <w:r w:rsidDel="00000000" w:rsidR="00000000" w:rsidRPr="00000000">
        <w:rPr>
          <w:highlight w:val="yellow"/>
          <w:rtl w:val="0"/>
        </w:rPr>
        <w:t xml:space="preserve">перезапускается</w:t>
      </w:r>
      <w:r w:rsidDel="00000000" w:rsidR="00000000" w:rsidRPr="00000000">
        <w:rPr>
          <w:rtl w:val="0"/>
        </w:rPr>
        <w:t xml:space="preserve">, тренд продолжается и от этой свечи идет отсчет 20 свечей. См. Рисунок внизу</w:t>
      </w:r>
    </w:p>
    <w:p w:rsidR="00000000" w:rsidDel="00000000" w:rsidP="00000000" w:rsidRDefault="00000000" w:rsidRPr="00000000" w14:paraId="00000016">
      <w:pPr>
        <w:ind w:left="0" w:firstLine="0"/>
        <w:rPr/>
      </w:pPr>
      <w:r w:rsidDel="00000000" w:rsidR="00000000" w:rsidRPr="00000000">
        <w:rPr>
          <w:rtl w:val="0"/>
        </w:rPr>
      </w:r>
    </w:p>
    <w:p w:rsidR="00000000" w:rsidDel="00000000" w:rsidP="00000000" w:rsidRDefault="00000000" w:rsidRPr="00000000" w14:paraId="00000017">
      <w:pPr>
        <w:ind w:left="0" w:firstLine="0"/>
        <w:rPr>
          <w:b w:val="1"/>
        </w:rPr>
      </w:pPr>
      <w:r w:rsidDel="00000000" w:rsidR="00000000" w:rsidRPr="00000000">
        <w:rPr>
          <w:b w:val="1"/>
          <w:rtl w:val="0"/>
        </w:rPr>
        <w:t xml:space="preserve">Тренд выключается если есть одно из следующих условий:</w:t>
      </w:r>
    </w:p>
    <w:p w:rsidR="00000000" w:rsidDel="00000000" w:rsidP="00000000" w:rsidRDefault="00000000" w:rsidRPr="00000000" w14:paraId="00000018">
      <w:pPr>
        <w:numPr>
          <w:ilvl w:val="0"/>
          <w:numId w:val="2"/>
        </w:numPr>
        <w:ind w:left="720" w:hanging="360"/>
        <w:rPr>
          <w:u w:val="none"/>
        </w:rPr>
      </w:pPr>
      <w:r w:rsidDel="00000000" w:rsidR="00000000" w:rsidRPr="00000000">
        <w:rPr>
          <w:rtl w:val="0"/>
        </w:rPr>
        <w:t xml:space="preserve">Касание противоположной BB (см рис ниже)</w:t>
      </w:r>
    </w:p>
    <w:p w:rsidR="00000000" w:rsidDel="00000000" w:rsidP="00000000" w:rsidRDefault="00000000" w:rsidRPr="00000000" w14:paraId="00000019">
      <w:pPr>
        <w:numPr>
          <w:ilvl w:val="0"/>
          <w:numId w:val="2"/>
        </w:numPr>
        <w:ind w:left="720" w:hanging="360"/>
        <w:rPr>
          <w:u w:val="none"/>
        </w:rPr>
      </w:pPr>
      <w:r w:rsidDel="00000000" w:rsidR="00000000" w:rsidRPr="00000000">
        <w:rPr>
          <w:rtl w:val="0"/>
        </w:rPr>
        <w:t xml:space="preserve">Для тренда вверх - закрытие ниже обоих EMA, потом закрытие выше обоих EMA и закрытие ниже обоих EMA. Для тренда вниз - закрытие выше EMA, закрытие ниже EMA, закрытие выше EMA (см внизу)</w:t>
      </w:r>
    </w:p>
    <w:p w:rsidR="00000000" w:rsidDel="00000000" w:rsidP="00000000" w:rsidRDefault="00000000" w:rsidRPr="00000000" w14:paraId="0000001A">
      <w:pPr>
        <w:numPr>
          <w:ilvl w:val="0"/>
          <w:numId w:val="2"/>
        </w:numPr>
        <w:ind w:left="720" w:hanging="360"/>
        <w:rPr>
          <w:u w:val="none"/>
        </w:rPr>
      </w:pPr>
      <w:r w:rsidDel="00000000" w:rsidR="00000000" w:rsidRPr="00000000">
        <w:rPr>
          <w:rtl w:val="0"/>
        </w:rPr>
        <w:t xml:space="preserve">Если с момента касания BB не было закрытия свечи выше (Up trend) или ниже (Down Trend) в течение 20 свечей (и не было перезапуска, как писал выше)</w:t>
        <w:br w:type="textWrapping"/>
      </w:r>
    </w:p>
    <w:p w:rsidR="00000000" w:rsidDel="00000000" w:rsidP="00000000" w:rsidRDefault="00000000" w:rsidRPr="00000000" w14:paraId="0000001B">
      <w:pPr>
        <w:ind w:left="720" w:firstLine="0"/>
        <w:rPr/>
      </w:pPr>
      <w:r w:rsidDel="00000000" w:rsidR="00000000" w:rsidRPr="00000000">
        <w:rPr>
          <w:rtl w:val="0"/>
        </w:rPr>
        <w:t xml:space="preserve">Пример касания противоположной BB 1)</w:t>
      </w:r>
    </w:p>
    <w:p w:rsidR="00000000" w:rsidDel="00000000" w:rsidP="00000000" w:rsidRDefault="00000000" w:rsidRPr="00000000" w14:paraId="0000001C">
      <w:pPr>
        <w:ind w:left="0" w:firstLine="0"/>
        <w:rPr/>
      </w:pPr>
      <w:r w:rsidDel="00000000" w:rsidR="00000000" w:rsidRPr="00000000">
        <w:rPr>
          <w:rtl w:val="0"/>
        </w:rPr>
        <w:br w:type="textWrapping"/>
      </w:r>
      <w:r w:rsidDel="00000000" w:rsidR="00000000" w:rsidRPr="00000000">
        <w:rPr/>
        <w:drawing>
          <wp:inline distB="114300" distT="114300" distL="114300" distR="114300">
            <wp:extent cx="5943600" cy="3505200"/>
            <wp:effectExtent b="0" l="0" r="0" t="0"/>
            <wp:docPr id="7"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5943600" cy="3505200"/>
                    </a:xfrm>
                    <a:prstGeom prst="rect"/>
                    <a:ln/>
                  </pic:spPr>
                </pic:pic>
              </a:graphicData>
            </a:graphic>
          </wp:inline>
        </w:drawing>
      </w:r>
      <w:r w:rsidDel="00000000" w:rsidR="00000000" w:rsidRPr="00000000">
        <w:rPr>
          <w:rtl w:val="0"/>
        </w:rPr>
        <w:br w:type="textWrapping"/>
      </w:r>
    </w:p>
    <w:p w:rsidR="00000000" w:rsidDel="00000000" w:rsidP="00000000" w:rsidRDefault="00000000" w:rsidRPr="00000000" w14:paraId="0000001D">
      <w:pPr>
        <w:ind w:left="0" w:firstLine="0"/>
        <w:rPr/>
      </w:pPr>
      <w:r w:rsidDel="00000000" w:rsidR="00000000" w:rsidRPr="00000000">
        <w:rPr>
          <w:rtl w:val="0"/>
        </w:rPr>
        <w:t xml:space="preserve">Пример перезапуска счета свечи:</w:t>
      </w:r>
    </w:p>
    <w:p w:rsidR="00000000" w:rsidDel="00000000" w:rsidP="00000000" w:rsidRDefault="00000000" w:rsidRPr="00000000" w14:paraId="0000001E">
      <w:pPr>
        <w:ind w:left="0" w:firstLine="0"/>
        <w:rPr/>
      </w:pPr>
      <w:r w:rsidDel="00000000" w:rsidR="00000000" w:rsidRPr="00000000">
        <w:rPr/>
        <w:drawing>
          <wp:inline distB="114300" distT="114300" distL="114300" distR="114300">
            <wp:extent cx="5943600" cy="3530600"/>
            <wp:effectExtent b="0" l="0" r="0" t="0"/>
            <wp:docPr id="10" name="image10.png"/>
            <a:graphic>
              <a:graphicData uri="http://schemas.openxmlformats.org/drawingml/2006/picture">
                <pic:pic>
                  <pic:nvPicPr>
                    <pic:cNvPr id="0" name="image10.png"/>
                    <pic:cNvPicPr preferRelativeResize="0"/>
                  </pic:nvPicPr>
                  <pic:blipFill>
                    <a:blip r:embed="rId9"/>
                    <a:srcRect b="0" l="0" r="0" t="0"/>
                    <a:stretch>
                      <a:fillRect/>
                    </a:stretch>
                  </pic:blipFill>
                  <pic:spPr>
                    <a:xfrm>
                      <a:off x="0" y="0"/>
                      <a:ext cx="5943600" cy="3530600"/>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ind w:left="0" w:firstLine="0"/>
        <w:rPr/>
      </w:pPr>
      <w:r w:rsidDel="00000000" w:rsidR="00000000" w:rsidRPr="00000000">
        <w:rPr>
          <w:rtl w:val="0"/>
        </w:rPr>
        <w:t xml:space="preserve">Еще пример перезапуска отсчета и продолжения тренда:</w:t>
      </w:r>
    </w:p>
    <w:p w:rsidR="00000000" w:rsidDel="00000000" w:rsidP="00000000" w:rsidRDefault="00000000" w:rsidRPr="00000000" w14:paraId="00000020">
      <w:pPr>
        <w:ind w:left="0" w:firstLine="0"/>
        <w:rPr/>
      </w:pPr>
      <w:r w:rsidDel="00000000" w:rsidR="00000000" w:rsidRPr="00000000">
        <w:rPr/>
        <w:drawing>
          <wp:inline distB="114300" distT="114300" distL="114300" distR="114300">
            <wp:extent cx="6900863" cy="3619500"/>
            <wp:effectExtent b="0" l="0" r="0" t="0"/>
            <wp:docPr id="8" name="image7.png"/>
            <a:graphic>
              <a:graphicData uri="http://schemas.openxmlformats.org/drawingml/2006/picture">
                <pic:pic>
                  <pic:nvPicPr>
                    <pic:cNvPr id="0" name="image7.png"/>
                    <pic:cNvPicPr preferRelativeResize="0"/>
                  </pic:nvPicPr>
                  <pic:blipFill>
                    <a:blip r:embed="rId10"/>
                    <a:srcRect b="0" l="0" r="0" t="0"/>
                    <a:stretch>
                      <a:fillRect/>
                    </a:stretch>
                  </pic:blipFill>
                  <pic:spPr>
                    <a:xfrm>
                      <a:off x="0" y="0"/>
                      <a:ext cx="6900863" cy="3619500"/>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ind w:left="0" w:firstLine="0"/>
        <w:rPr/>
      </w:pPr>
      <w:r w:rsidDel="00000000" w:rsidR="00000000" w:rsidRPr="00000000">
        <w:rPr>
          <w:rtl w:val="0"/>
        </w:rPr>
      </w:r>
    </w:p>
    <w:p w:rsidR="00000000" w:rsidDel="00000000" w:rsidP="00000000" w:rsidRDefault="00000000" w:rsidRPr="00000000" w14:paraId="00000022">
      <w:pPr>
        <w:ind w:left="0" w:firstLine="0"/>
        <w:rPr/>
      </w:pPr>
      <w:r w:rsidDel="00000000" w:rsidR="00000000" w:rsidRPr="00000000">
        <w:rPr>
          <w:rtl w:val="0"/>
        </w:rPr>
        <w:t xml:space="preserve">Пример окончание тренда 2) - закрытие выше-ниже-выше</w:t>
      </w:r>
    </w:p>
    <w:p w:rsidR="00000000" w:rsidDel="00000000" w:rsidP="00000000" w:rsidRDefault="00000000" w:rsidRPr="00000000" w14:paraId="00000023">
      <w:pPr>
        <w:ind w:left="0" w:firstLine="0"/>
        <w:rPr/>
      </w:pPr>
      <w:r w:rsidDel="00000000" w:rsidR="00000000" w:rsidRPr="00000000">
        <w:rPr/>
        <w:drawing>
          <wp:inline distB="114300" distT="114300" distL="114300" distR="114300">
            <wp:extent cx="6815138" cy="2809875"/>
            <wp:effectExtent b="0" l="0" r="0" t="0"/>
            <wp:docPr id="1"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6815138" cy="2809875"/>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ind w:left="0" w:firstLine="0"/>
        <w:rPr/>
      </w:pPr>
      <w:r w:rsidDel="00000000" w:rsidR="00000000" w:rsidRPr="00000000">
        <w:rPr>
          <w:rtl w:val="0"/>
        </w:rPr>
      </w:r>
    </w:p>
    <w:p w:rsidR="00000000" w:rsidDel="00000000" w:rsidP="00000000" w:rsidRDefault="00000000" w:rsidRPr="00000000" w14:paraId="00000025">
      <w:pPr>
        <w:ind w:left="0" w:firstLine="0"/>
        <w:rPr/>
      </w:pPr>
      <w:r w:rsidDel="00000000" w:rsidR="00000000" w:rsidRPr="00000000">
        <w:rPr>
          <w:rtl w:val="0"/>
        </w:rPr>
      </w:r>
    </w:p>
    <w:p w:rsidR="00000000" w:rsidDel="00000000" w:rsidP="00000000" w:rsidRDefault="00000000" w:rsidRPr="00000000" w14:paraId="00000026">
      <w:pPr>
        <w:ind w:left="0" w:firstLine="0"/>
        <w:rPr>
          <w:b w:val="1"/>
          <w:sz w:val="26"/>
          <w:szCs w:val="26"/>
        </w:rPr>
      </w:pPr>
      <w:r w:rsidDel="00000000" w:rsidR="00000000" w:rsidRPr="00000000">
        <w:rPr>
          <w:b w:val="1"/>
          <w:sz w:val="26"/>
          <w:szCs w:val="26"/>
          <w:rtl w:val="0"/>
        </w:rPr>
        <w:t xml:space="preserve">Decreasing Volatility Mode - DV</w:t>
      </w:r>
    </w:p>
    <w:p w:rsidR="00000000" w:rsidDel="00000000" w:rsidP="00000000" w:rsidRDefault="00000000" w:rsidRPr="00000000" w14:paraId="00000027">
      <w:pPr>
        <w:ind w:left="0" w:firstLine="0"/>
        <w:rPr>
          <w:b w:val="1"/>
        </w:rPr>
      </w:pPr>
      <w:r w:rsidDel="00000000" w:rsidR="00000000" w:rsidRPr="00000000">
        <w:rPr>
          <w:rtl w:val="0"/>
        </w:rPr>
      </w:r>
    </w:p>
    <w:p w:rsidR="00000000" w:rsidDel="00000000" w:rsidP="00000000" w:rsidRDefault="00000000" w:rsidRPr="00000000" w14:paraId="00000028">
      <w:pPr>
        <w:ind w:left="0" w:firstLine="0"/>
        <w:rPr>
          <w:b w:val="1"/>
        </w:rPr>
      </w:pPr>
      <w:r w:rsidDel="00000000" w:rsidR="00000000" w:rsidRPr="00000000">
        <w:rPr>
          <w:b w:val="1"/>
          <w:rtl w:val="0"/>
        </w:rPr>
        <w:t xml:space="preserve">Включение DV Mode:</w:t>
      </w:r>
      <w:r w:rsidDel="00000000" w:rsidR="00000000" w:rsidRPr="00000000">
        <w:rPr>
          <w:rtl w:val="0"/>
        </w:rPr>
      </w:r>
    </w:p>
    <w:p w:rsidR="00000000" w:rsidDel="00000000" w:rsidP="00000000" w:rsidRDefault="00000000" w:rsidRPr="00000000" w14:paraId="00000029">
      <w:pPr>
        <w:numPr>
          <w:ilvl w:val="0"/>
          <w:numId w:val="1"/>
        </w:numPr>
        <w:ind w:left="720" w:hanging="360"/>
        <w:rPr>
          <w:u w:val="none"/>
        </w:rPr>
      </w:pPr>
      <w:r w:rsidDel="00000000" w:rsidR="00000000" w:rsidRPr="00000000">
        <w:rPr>
          <w:rtl w:val="0"/>
        </w:rPr>
        <w:t xml:space="preserve">Мы должны быть в тренде (Up или Down)</w:t>
      </w:r>
    </w:p>
    <w:p w:rsidR="00000000" w:rsidDel="00000000" w:rsidP="00000000" w:rsidRDefault="00000000" w:rsidRPr="00000000" w14:paraId="0000002A">
      <w:pPr>
        <w:numPr>
          <w:ilvl w:val="0"/>
          <w:numId w:val="1"/>
        </w:numPr>
        <w:ind w:left="720" w:hanging="360"/>
        <w:rPr>
          <w:u w:val="none"/>
        </w:rPr>
      </w:pPr>
      <w:r w:rsidDel="00000000" w:rsidR="00000000" w:rsidRPr="00000000">
        <w:rPr>
          <w:rtl w:val="0"/>
        </w:rPr>
        <w:t xml:space="preserve">Для Up тренда - новый max цена закрытия свечи с одновременным снижением значения ATR14 </w:t>
      </w:r>
    </w:p>
    <w:p w:rsidR="00000000" w:rsidDel="00000000" w:rsidP="00000000" w:rsidRDefault="00000000" w:rsidRPr="00000000" w14:paraId="0000002B">
      <w:pPr>
        <w:ind w:left="720" w:firstLine="0"/>
        <w:rPr/>
      </w:pPr>
      <w:r w:rsidDel="00000000" w:rsidR="00000000" w:rsidRPr="00000000">
        <w:rPr>
          <w:rtl w:val="0"/>
        </w:rPr>
      </w:r>
    </w:p>
    <w:p w:rsidR="00000000" w:rsidDel="00000000" w:rsidP="00000000" w:rsidRDefault="00000000" w:rsidRPr="00000000" w14:paraId="0000002C">
      <w:pPr>
        <w:ind w:left="720" w:firstLine="0"/>
        <w:rPr/>
      </w:pPr>
      <w:r w:rsidDel="00000000" w:rsidR="00000000" w:rsidRPr="00000000">
        <w:rPr>
          <w:rtl w:val="0"/>
        </w:rPr>
        <w:t xml:space="preserve">Пример:</w:t>
      </w:r>
    </w:p>
    <w:p w:rsidR="00000000" w:rsidDel="00000000" w:rsidP="00000000" w:rsidRDefault="00000000" w:rsidRPr="00000000" w14:paraId="0000002D">
      <w:pPr>
        <w:ind w:left="720" w:firstLine="0"/>
        <w:rPr/>
      </w:pPr>
      <w:r w:rsidDel="00000000" w:rsidR="00000000" w:rsidRPr="00000000">
        <w:rPr/>
        <w:drawing>
          <wp:inline distB="114300" distT="114300" distL="114300" distR="114300">
            <wp:extent cx="6577013" cy="3619500"/>
            <wp:effectExtent b="0" l="0" r="0" t="0"/>
            <wp:docPr id="2" name="image6.png"/>
            <a:graphic>
              <a:graphicData uri="http://schemas.openxmlformats.org/drawingml/2006/picture">
                <pic:pic>
                  <pic:nvPicPr>
                    <pic:cNvPr id="0" name="image6.png"/>
                    <pic:cNvPicPr preferRelativeResize="0"/>
                  </pic:nvPicPr>
                  <pic:blipFill>
                    <a:blip r:embed="rId12"/>
                    <a:srcRect b="0" l="0" r="0" t="0"/>
                    <a:stretch>
                      <a:fillRect/>
                    </a:stretch>
                  </pic:blipFill>
                  <pic:spPr>
                    <a:xfrm>
                      <a:off x="0" y="0"/>
                      <a:ext cx="6577013" cy="3619500"/>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ind w:left="720" w:firstLine="0"/>
        <w:rPr/>
      </w:pPr>
      <w:r w:rsidDel="00000000" w:rsidR="00000000" w:rsidRPr="00000000">
        <w:rPr>
          <w:rtl w:val="0"/>
        </w:rPr>
      </w:r>
    </w:p>
    <w:p w:rsidR="00000000" w:rsidDel="00000000" w:rsidP="00000000" w:rsidRDefault="00000000" w:rsidRPr="00000000" w14:paraId="0000002F">
      <w:pPr>
        <w:ind w:left="720" w:hanging="630"/>
        <w:rPr>
          <w:b w:val="1"/>
        </w:rPr>
      </w:pPr>
      <w:r w:rsidDel="00000000" w:rsidR="00000000" w:rsidRPr="00000000">
        <w:rPr>
          <w:b w:val="1"/>
          <w:rtl w:val="0"/>
        </w:rPr>
        <w:t xml:space="preserve">Выключение DV mode:</w:t>
      </w:r>
    </w:p>
    <w:p w:rsidR="00000000" w:rsidDel="00000000" w:rsidP="00000000" w:rsidRDefault="00000000" w:rsidRPr="00000000" w14:paraId="00000030">
      <w:pPr>
        <w:numPr>
          <w:ilvl w:val="0"/>
          <w:numId w:val="5"/>
        </w:numPr>
        <w:ind w:left="720" w:hanging="360"/>
        <w:rPr>
          <w:u w:val="none"/>
        </w:rPr>
      </w:pPr>
      <w:r w:rsidDel="00000000" w:rsidR="00000000" w:rsidRPr="00000000">
        <w:rPr>
          <w:rtl w:val="0"/>
        </w:rPr>
        <w:t xml:space="preserve">Новый High ATR с начала свечи тренда</w:t>
      </w:r>
    </w:p>
    <w:p w:rsidR="00000000" w:rsidDel="00000000" w:rsidP="00000000" w:rsidRDefault="00000000" w:rsidRPr="00000000" w14:paraId="00000031">
      <w:pPr>
        <w:numPr>
          <w:ilvl w:val="0"/>
          <w:numId w:val="5"/>
        </w:numPr>
        <w:ind w:left="720" w:hanging="360"/>
        <w:rPr>
          <w:u w:val="none"/>
        </w:rPr>
      </w:pPr>
      <w:r w:rsidDel="00000000" w:rsidR="00000000" w:rsidRPr="00000000">
        <w:rPr>
          <w:rtl w:val="0"/>
        </w:rPr>
        <w:t xml:space="preserve">Пробитие самого недавнего слева </w:t>
      </w:r>
      <w:r w:rsidDel="00000000" w:rsidR="00000000" w:rsidRPr="00000000">
        <w:rPr>
          <w:b w:val="1"/>
          <w:rtl w:val="0"/>
        </w:rPr>
        <w:t xml:space="preserve">Pivot2High (P2H)</w:t>
      </w:r>
      <w:r w:rsidDel="00000000" w:rsidR="00000000" w:rsidRPr="00000000">
        <w:rPr>
          <w:rtl w:val="0"/>
        </w:rPr>
        <w:t xml:space="preserve"> (если он есть).</w:t>
      </w:r>
    </w:p>
    <w:p w:rsidR="00000000" w:rsidDel="00000000" w:rsidP="00000000" w:rsidRDefault="00000000" w:rsidRPr="00000000" w14:paraId="00000032">
      <w:pPr>
        <w:ind w:left="720" w:firstLine="0"/>
        <w:rPr>
          <w:b w:val="1"/>
        </w:rPr>
      </w:pPr>
      <w:r w:rsidDel="00000000" w:rsidR="00000000" w:rsidRPr="00000000">
        <w:rPr>
          <w:rtl w:val="0"/>
        </w:rPr>
      </w:r>
    </w:p>
    <w:p w:rsidR="00000000" w:rsidDel="00000000" w:rsidP="00000000" w:rsidRDefault="00000000" w:rsidRPr="00000000" w14:paraId="00000033">
      <w:pPr>
        <w:rPr/>
      </w:pPr>
      <w:r w:rsidDel="00000000" w:rsidR="00000000" w:rsidRPr="00000000">
        <w:rPr>
          <w:b w:val="1"/>
          <w:rtl w:val="0"/>
        </w:rPr>
        <w:t xml:space="preserve">Pivot2High</w:t>
      </w:r>
      <w:r w:rsidDel="00000000" w:rsidR="00000000" w:rsidRPr="00000000">
        <w:rPr>
          <w:rtl w:val="0"/>
        </w:rPr>
        <w:t xml:space="preserve">  - это образование пика или горки на ATR, характеризующегося пиком и </w:t>
      </w:r>
      <w:r w:rsidDel="00000000" w:rsidR="00000000" w:rsidRPr="00000000">
        <w:rPr>
          <w:b w:val="1"/>
          <w:rtl w:val="0"/>
        </w:rPr>
        <w:t xml:space="preserve">двумя</w:t>
      </w:r>
      <w:r w:rsidDel="00000000" w:rsidR="00000000" w:rsidRPr="00000000">
        <w:rPr>
          <w:rtl w:val="0"/>
        </w:rPr>
        <w:t xml:space="preserve"> меньшими значениями справа и слева. То есть, для образования P2H нужно 5 свечей - 2 справа, 2 слева и пик.</w:t>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b w:val="1"/>
          <w:highlight w:val="yellow"/>
          <w:rtl w:val="0"/>
        </w:rPr>
        <w:t xml:space="preserve">Важное исключение</w:t>
      </w:r>
      <w:r w:rsidDel="00000000" w:rsidR="00000000" w:rsidRPr="00000000">
        <w:rPr>
          <w:b w:val="1"/>
          <w:rtl w:val="0"/>
        </w:rPr>
        <w:t xml:space="preserve">:</w:t>
      </w:r>
      <w:r w:rsidDel="00000000" w:rsidR="00000000" w:rsidRPr="00000000">
        <w:rPr>
          <w:rtl w:val="0"/>
        </w:rPr>
        <w:t xml:space="preserve"> если имеем DV m2 (то есть не можем заходить на анти трендовые сетапы RTV/RTCS/RTC ), но на m5 и m10 есть подтверждение в сторону сетапа на RTV/RTCS/RTC, то DV игнорируем. Пример: RTV Buy setup на m2, но имеем DV. Однако на m5 имеем Trend with Pullback, а на m10 BBWalk. =&gt;&gt; Входим по RTV. </w:t>
      </w:r>
    </w:p>
    <w:p w:rsidR="00000000" w:rsidDel="00000000" w:rsidP="00000000" w:rsidRDefault="00000000" w:rsidRPr="00000000" w14:paraId="00000036">
      <w:pPr>
        <w:rPr/>
      </w:pPr>
      <w:r w:rsidDel="00000000" w:rsidR="00000000" w:rsidRPr="00000000">
        <w:rPr>
          <w:highlight w:val="yellow"/>
          <w:rtl w:val="0"/>
        </w:rPr>
        <w:t xml:space="preserve">Еще один </w:t>
      </w:r>
      <w:r w:rsidDel="00000000" w:rsidR="00000000" w:rsidRPr="00000000">
        <w:rPr>
          <w:b w:val="1"/>
          <w:highlight w:val="yellow"/>
          <w:rtl w:val="0"/>
        </w:rPr>
        <w:t xml:space="preserve">важный случай</w:t>
      </w:r>
      <w:r w:rsidDel="00000000" w:rsidR="00000000" w:rsidRPr="00000000">
        <w:rPr>
          <w:highlight w:val="yellow"/>
          <w:rtl w:val="0"/>
        </w:rPr>
        <w:t xml:space="preserve">:</w:t>
      </w:r>
      <w:r w:rsidDel="00000000" w:rsidR="00000000" w:rsidRPr="00000000">
        <w:rPr>
          <w:rFonts w:ascii="Arial Unicode MS" w:cs="Arial Unicode MS" w:eastAsia="Arial Unicode MS" w:hAnsi="Arial Unicode MS"/>
          <w:rtl w:val="0"/>
        </w:rPr>
        <w:t xml:space="preserve"> если на m2 RTV  buy с DV,  на m5 касание нижней BB (тоже buy подтверждение), а на m10 Trend with Pullback ⇒&gt; не входим, т.к. На m5 не трендовое подтверждение сетапа в сторону Buy</w:t>
      </w:r>
    </w:p>
    <w:p w:rsidR="00000000" w:rsidDel="00000000" w:rsidP="00000000" w:rsidRDefault="00000000" w:rsidRPr="00000000" w14:paraId="00000037">
      <w:pPr>
        <w:ind w:left="720" w:firstLine="0"/>
        <w:rPr/>
      </w:pPr>
      <w:r w:rsidDel="00000000" w:rsidR="00000000" w:rsidRPr="00000000">
        <w:rPr>
          <w:rtl w:val="0"/>
        </w:rPr>
      </w:r>
    </w:p>
    <w:p w:rsidR="00000000" w:rsidDel="00000000" w:rsidP="00000000" w:rsidRDefault="00000000" w:rsidRPr="00000000" w14:paraId="00000038">
      <w:pPr>
        <w:ind w:left="0" w:firstLine="0"/>
        <w:rPr>
          <w:highlight w:val="yellow"/>
        </w:rPr>
      </w:pPr>
      <w:r w:rsidDel="00000000" w:rsidR="00000000" w:rsidRPr="00000000">
        <w:rPr>
          <w:rtl w:val="0"/>
        </w:rPr>
      </w:r>
    </w:p>
    <w:p w:rsidR="00000000" w:rsidDel="00000000" w:rsidP="00000000" w:rsidRDefault="00000000" w:rsidRPr="00000000" w14:paraId="00000039">
      <w:pPr>
        <w:ind w:left="0" w:firstLine="0"/>
        <w:rPr/>
      </w:pPr>
      <w:r w:rsidDel="00000000" w:rsidR="00000000" w:rsidRPr="00000000">
        <w:rPr>
          <w:rtl w:val="0"/>
        </w:rPr>
        <w:t xml:space="preserve">Пример DV mode и P2H</w:t>
      </w:r>
    </w:p>
    <w:p w:rsidR="00000000" w:rsidDel="00000000" w:rsidP="00000000" w:rsidRDefault="00000000" w:rsidRPr="00000000" w14:paraId="0000003A">
      <w:pPr>
        <w:ind w:left="0" w:firstLine="0"/>
        <w:rPr/>
      </w:pPr>
      <w:r w:rsidDel="00000000" w:rsidR="00000000" w:rsidRPr="00000000">
        <w:rPr/>
        <w:drawing>
          <wp:inline distB="114300" distT="114300" distL="114300" distR="114300">
            <wp:extent cx="7005638" cy="3143250"/>
            <wp:effectExtent b="0" l="0" r="0" t="0"/>
            <wp:docPr id="6" name="image9.png"/>
            <a:graphic>
              <a:graphicData uri="http://schemas.openxmlformats.org/drawingml/2006/picture">
                <pic:pic>
                  <pic:nvPicPr>
                    <pic:cNvPr id="0" name="image9.png"/>
                    <pic:cNvPicPr preferRelativeResize="0"/>
                  </pic:nvPicPr>
                  <pic:blipFill>
                    <a:blip r:embed="rId13"/>
                    <a:srcRect b="0" l="0" r="0" t="0"/>
                    <a:stretch>
                      <a:fillRect/>
                    </a:stretch>
                  </pic:blipFill>
                  <pic:spPr>
                    <a:xfrm>
                      <a:off x="0" y="0"/>
                      <a:ext cx="7005638" cy="3143250"/>
                    </a:xfrm>
                    <a:prstGeom prst="rect"/>
                    <a:ln/>
                  </pic:spPr>
                </pic:pic>
              </a:graphicData>
            </a:graphic>
          </wp:inline>
        </w:drawing>
      </w:r>
      <w:r w:rsidDel="00000000" w:rsidR="00000000" w:rsidRPr="00000000">
        <w:rPr>
          <w:rtl w:val="0"/>
        </w:rPr>
      </w:r>
    </w:p>
    <w:p w:rsidR="00000000" w:rsidDel="00000000" w:rsidP="00000000" w:rsidRDefault="00000000" w:rsidRPr="00000000" w14:paraId="0000003B">
      <w:pPr>
        <w:ind w:left="0" w:firstLine="0"/>
        <w:rPr/>
      </w:pPr>
      <w:r w:rsidDel="00000000" w:rsidR="00000000" w:rsidRPr="00000000">
        <w:rPr>
          <w:rtl w:val="0"/>
        </w:rPr>
      </w:r>
    </w:p>
    <w:p w:rsidR="00000000" w:rsidDel="00000000" w:rsidP="00000000" w:rsidRDefault="00000000" w:rsidRPr="00000000" w14:paraId="0000003C">
      <w:pPr>
        <w:ind w:left="0" w:firstLine="0"/>
        <w:rPr/>
      </w:pPr>
      <w:r w:rsidDel="00000000" w:rsidR="00000000" w:rsidRPr="00000000">
        <w:rPr>
          <w:rtl w:val="0"/>
        </w:rPr>
      </w:r>
    </w:p>
    <w:p w:rsidR="00000000" w:rsidDel="00000000" w:rsidP="00000000" w:rsidRDefault="00000000" w:rsidRPr="00000000" w14:paraId="0000003D">
      <w:pPr>
        <w:ind w:left="0" w:firstLine="0"/>
        <w:rPr>
          <w:b w:val="1"/>
        </w:rPr>
      </w:pPr>
      <w:r w:rsidDel="00000000" w:rsidR="00000000" w:rsidRPr="00000000">
        <w:rPr>
          <w:b w:val="1"/>
          <w:rtl w:val="0"/>
        </w:rPr>
        <w:t xml:space="preserve">Пример Trend with Pullback:</w:t>
      </w:r>
    </w:p>
    <w:p w:rsidR="00000000" w:rsidDel="00000000" w:rsidP="00000000" w:rsidRDefault="00000000" w:rsidRPr="00000000" w14:paraId="0000003E">
      <w:pPr>
        <w:ind w:left="0" w:firstLine="0"/>
        <w:rPr/>
      </w:pPr>
      <w:r w:rsidDel="00000000" w:rsidR="00000000" w:rsidRPr="00000000">
        <w:rPr>
          <w:rtl w:val="0"/>
        </w:rPr>
      </w:r>
    </w:p>
    <w:p w:rsidR="00000000" w:rsidDel="00000000" w:rsidP="00000000" w:rsidRDefault="00000000" w:rsidRPr="00000000" w14:paraId="0000003F">
      <w:pPr>
        <w:ind w:left="0" w:firstLine="0"/>
        <w:rPr/>
      </w:pPr>
      <w:r w:rsidDel="00000000" w:rsidR="00000000" w:rsidRPr="00000000">
        <w:rPr/>
        <w:drawing>
          <wp:inline distB="114300" distT="114300" distL="114300" distR="114300">
            <wp:extent cx="7029450" cy="4559300"/>
            <wp:effectExtent b="0" l="0" r="0" t="0"/>
            <wp:docPr id="9" name="image2.png"/>
            <a:graphic>
              <a:graphicData uri="http://schemas.openxmlformats.org/drawingml/2006/picture">
                <pic:pic>
                  <pic:nvPicPr>
                    <pic:cNvPr id="0" name="image2.png"/>
                    <pic:cNvPicPr preferRelativeResize="0"/>
                  </pic:nvPicPr>
                  <pic:blipFill>
                    <a:blip r:embed="rId14"/>
                    <a:srcRect b="0" l="0" r="0" t="0"/>
                    <a:stretch>
                      <a:fillRect/>
                    </a:stretch>
                  </pic:blipFill>
                  <pic:spPr>
                    <a:xfrm>
                      <a:off x="0" y="0"/>
                      <a:ext cx="7029450" cy="4559300"/>
                    </a:xfrm>
                    <a:prstGeom prst="rect"/>
                    <a:ln/>
                  </pic:spPr>
                </pic:pic>
              </a:graphicData>
            </a:graphic>
          </wp:inline>
        </w:drawing>
      </w:r>
      <w:r w:rsidDel="00000000" w:rsidR="00000000" w:rsidRPr="00000000">
        <w:rPr>
          <w:rtl w:val="0"/>
        </w:rPr>
      </w:r>
    </w:p>
    <w:p w:rsidR="00000000" w:rsidDel="00000000" w:rsidP="00000000" w:rsidRDefault="00000000" w:rsidRPr="00000000" w14:paraId="00000040">
      <w:pPr>
        <w:ind w:left="0" w:firstLine="0"/>
        <w:rPr/>
      </w:pPr>
      <w:r w:rsidDel="00000000" w:rsidR="00000000" w:rsidRPr="00000000">
        <w:rPr>
          <w:rtl w:val="0"/>
        </w:rPr>
      </w:r>
    </w:p>
    <w:p w:rsidR="00000000" w:rsidDel="00000000" w:rsidP="00000000" w:rsidRDefault="00000000" w:rsidRPr="00000000" w14:paraId="00000041">
      <w:pPr>
        <w:ind w:left="0" w:firstLine="0"/>
        <w:rPr/>
      </w:pPr>
      <w:r w:rsidDel="00000000" w:rsidR="00000000" w:rsidRPr="00000000">
        <w:rPr/>
        <w:drawing>
          <wp:inline distB="114300" distT="114300" distL="114300" distR="114300">
            <wp:extent cx="7029450" cy="3327400"/>
            <wp:effectExtent b="0" l="0" r="0" t="0"/>
            <wp:docPr id="4" name="image1.png"/>
            <a:graphic>
              <a:graphicData uri="http://schemas.openxmlformats.org/drawingml/2006/picture">
                <pic:pic>
                  <pic:nvPicPr>
                    <pic:cNvPr id="0" name="image1.png"/>
                    <pic:cNvPicPr preferRelativeResize="0"/>
                  </pic:nvPicPr>
                  <pic:blipFill>
                    <a:blip r:embed="rId15"/>
                    <a:srcRect b="0" l="0" r="0" t="0"/>
                    <a:stretch>
                      <a:fillRect/>
                    </a:stretch>
                  </pic:blipFill>
                  <pic:spPr>
                    <a:xfrm>
                      <a:off x="0" y="0"/>
                      <a:ext cx="7029450" cy="3327400"/>
                    </a:xfrm>
                    <a:prstGeom prst="rect"/>
                    <a:ln/>
                  </pic:spPr>
                </pic:pic>
              </a:graphicData>
            </a:graphic>
          </wp:inline>
        </w:drawing>
      </w:r>
      <w:r w:rsidDel="00000000" w:rsidR="00000000" w:rsidRPr="00000000">
        <w:rPr>
          <w:rtl w:val="0"/>
        </w:rPr>
      </w:r>
    </w:p>
    <w:sectPr>
      <w:pgSz w:h="15840" w:w="12240" w:orient="portrait"/>
      <w:pgMar w:bottom="1440" w:top="1440" w:left="630" w:right="5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5.png"/><Relationship Id="rId10" Type="http://schemas.openxmlformats.org/officeDocument/2006/relationships/image" Target="media/image7.png"/><Relationship Id="rId13" Type="http://schemas.openxmlformats.org/officeDocument/2006/relationships/image" Target="media/image9.png"/><Relationship Id="rId12"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0.png"/><Relationship Id="rId15" Type="http://schemas.openxmlformats.org/officeDocument/2006/relationships/image" Target="media/image1.png"/><Relationship Id="rId14" Type="http://schemas.openxmlformats.org/officeDocument/2006/relationships/image" Target="media/image2.png"/><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8.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